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D7C5B" w14:textId="77777777" w:rsidR="00F375BE" w:rsidRPr="008A22AC" w:rsidRDefault="00F375BE" w:rsidP="00F375BE">
      <w:pPr>
        <w:rPr>
          <w:rFonts w:cstheme="minorHAnsi"/>
          <w:b/>
          <w:sz w:val="36"/>
          <w:szCs w:val="32"/>
          <w:lang w:val="it-IT"/>
        </w:rPr>
      </w:pPr>
      <w:r>
        <w:rPr>
          <w:b w:val="true"/>
          <w:sz w:val="36"/>
          <w:lang w:val="it-IT"/>
          <w:rFonts/>
        </w:rPr>
        <w:t xml:space="preserve">Descrizione servizio</w:t>
      </w:r>
    </w:p>
    <w:p w14:paraId="7083AE2D" w14:textId="11823414" w:rsidR="00F375BE" w:rsidRPr="008A22AC" w:rsidRDefault="00F375BE" w:rsidP="00F375BE">
      <w:pPr>
        <w:rPr>
          <w:rFonts w:cstheme="minorHAnsi"/>
          <w:b/>
          <w:sz w:val="28"/>
          <w:szCs w:val="28"/>
          <w:lang w:val="it-IT"/>
        </w:rPr>
      </w:pPr>
      <w:r>
        <w:rPr>
          <w:b w:val="true"/>
          <w:sz w:val="28"/>
          <w:lang w:val="it-IT"/>
          <w:rFonts/>
        </w:rPr>
        <w:t xml:space="preserve">HCL AppScan on Cloud</w:t>
      </w:r>
    </w:p>
    <w:p w14:paraId="06BDEFD5" w14:textId="2B9BED21" w:rsidR="00F375BE" w:rsidRPr="008A22AC" w:rsidRDefault="00F375BE" w:rsidP="00F375BE">
      <w:pPr>
        <w:rPr>
          <w:rFonts w:cstheme="minorHAnsi"/>
          <w:lang w:val="it-IT"/>
        </w:rPr>
      </w:pPr>
      <w:r>
        <w:rPr>
          <w:lang w:val="it-IT"/>
          <w:rFonts/>
        </w:rPr>
        <w:t xml:space="preserve">La presente Descrizione del servizio (“Descrizione servizio”) descrive il servizio HCL AppScan on Cloud (“HCL AppScan on Cloud” o “Servizio cloud”).  Ulteriori termini che regolano HCL AppScan on Cloud sono stabiliti nell'Accordo sul Servizio cloud (“CSA”, Cloud Service Agreement) di HCL, disponibile all'indirizzo </w:t>
      </w:r>
      <w:hyperlink r:id="rId8" w:history="1">
        <w:r>
          <w:rPr>
            <w:rStyle w:val="Hyperlink"/>
            <w:lang w:val="it-IT"/>
            <w:rFonts/>
          </w:rPr>
          <w:t xml:space="preserve">https://www.hcltechsw.com/wps/portal/resources/master-agreements</w:t>
        </w:r>
      </w:hyperlink>
      <w:r>
        <w:rPr>
          <w:lang w:val="it-IT"/>
          <w:rFonts/>
        </w:rPr>
        <w:t xml:space="preserve">.  La presente Descrizione servizio, eventuali Allegati, Ordini e CSA applicabili costituiscono l'accordo integrale relativo alle transazioni ai sensi del CSA (collettivamente, "Accordo"). Il significato di eventuali termini in maiuscolo utilizzati ma non definiti nella presente Descrizione servizio è riportato nel CSA o in altri documenti applicabili dell'Accordo. </w:t>
      </w:r>
    </w:p>
    <w:p w14:paraId="71649977" w14:textId="77777777" w:rsidR="00F375BE" w:rsidRPr="008A22AC" w:rsidRDefault="00F375BE" w:rsidP="00F375BE">
      <w:pPr>
        <w:rPr>
          <w:rFonts w:cstheme="minorHAnsi"/>
          <w:b/>
          <w:sz w:val="28"/>
          <w:lang w:val="it-IT"/>
        </w:rPr>
      </w:pPr>
      <w:r>
        <w:rPr>
          <w:b w:val="true"/>
          <w:sz w:val="28"/>
          <w:lang w:val="it-IT"/>
          <w:rFonts/>
        </w:rPr>
        <w:t xml:space="preserve">HCL AppScan on Cloud</w:t>
      </w:r>
    </w:p>
    <w:p w14:paraId="4E7D504E" w14:textId="66D66060" w:rsidR="00F375BE" w:rsidRPr="008A22AC" w:rsidRDefault="00F375BE" w:rsidP="00F375BE">
      <w:pPr>
        <w:rPr>
          <w:rFonts w:cstheme="minorHAnsi"/>
          <w:lang w:val="it-IT"/>
        </w:rPr>
      </w:pPr>
      <w:r>
        <w:rPr>
          <w:lang w:val="it-IT"/>
          <w:rFonts/>
        </w:rPr>
        <w:t xml:space="preserve">HCL AppScan on Cloud offre una soluzione centralizzata per assistere il Cliente nell'identificare le vulnerabilità della sicurezza (come SQL Injection, Script Cross-Site e Perdita di dati) per una varietà di applicazioni. Il servizio include vari tipi di tecniche di scansione della sicurezza delle applicazioni, ognuna delle quali identifica i problemi di sicurezza in tale applicazione. </w:t>
      </w:r>
    </w:p>
    <w:p w14:paraId="387E9A2D" w14:textId="77777777" w:rsidR="00F375BE" w:rsidRPr="008A22AC" w:rsidRDefault="00F375BE" w:rsidP="00F375BE">
      <w:pPr>
        <w:rPr>
          <w:rFonts w:cstheme="minorHAnsi"/>
          <w:lang w:val="it-IT"/>
        </w:rPr>
      </w:pPr>
      <w:r>
        <w:rPr>
          <w:lang w:val="it-IT"/>
          <w:rFonts/>
        </w:rPr>
        <w:t xml:space="preserve">HCL AppScan on Cloud offre le seguenti funzionalità: </w:t>
      </w:r>
    </w:p>
    <w:p w14:paraId="2619DDD5" w14:textId="77777777" w:rsidR="000E5817" w:rsidRPr="000E5817" w:rsidRDefault="79E6FFBD" w:rsidP="001939FA">
      <w:pPr>
        <w:pStyle w:val="ListParagraph"/>
        <w:numPr>
          <w:ilvl w:val="0"/>
          <w:numId w:val="3"/>
        </w:numPr>
        <w:rPr>
          <w:rFonts w:cstheme="minorHAnsi"/>
          <w:lang w:val="it-IT"/>
        </w:rPr>
      </w:pPr>
      <w:r>
        <w:rPr>
          <w:lang w:val="it-IT"/>
          <w:rFonts/>
        </w:rPr>
        <w:t xml:space="preserve">Scansione delle vulnerabilità di sicurezza in applicazioni mobili. </w:t>
      </w:r>
    </w:p>
    <w:p w14:paraId="11A1D336" w14:textId="3064CD04" w:rsidR="00F375BE" w:rsidRPr="008A22AC" w:rsidRDefault="00F375BE" w:rsidP="001939FA">
      <w:pPr>
        <w:pStyle w:val="ListParagraph"/>
        <w:numPr>
          <w:ilvl w:val="0"/>
          <w:numId w:val="3"/>
        </w:numPr>
        <w:rPr>
          <w:rFonts w:cstheme="minorHAnsi"/>
          <w:lang w:val="it-IT"/>
        </w:rPr>
      </w:pPr>
      <w:r>
        <w:rPr>
          <w:lang w:val="it-IT"/>
          <w:rFonts/>
        </w:rPr>
        <w:t xml:space="preserve">Scansione delle vulnerabilità di sicurezza su siti Web e servizi Web, in produzione o pre-produzione, su rete pubblica o privata, mediante Dynamic Analysis Security Testing (Test di sicurezza basato su analisi dinamica).</w:t>
      </w:r>
    </w:p>
    <w:p w14:paraId="0830668F" w14:textId="66F7B9EE" w:rsidR="00F375BE" w:rsidRPr="008A22AC" w:rsidRDefault="00F375BE" w:rsidP="0008248F">
      <w:pPr>
        <w:pStyle w:val="ListParagraph"/>
        <w:numPr>
          <w:ilvl w:val="0"/>
          <w:numId w:val="3"/>
        </w:numPr>
        <w:rPr>
          <w:rFonts w:cstheme="minorHAnsi"/>
          <w:lang w:val="it-IT"/>
        </w:rPr>
      </w:pPr>
      <w:r>
        <w:rPr>
          <w:lang w:val="it-IT"/>
          <w:rFonts/>
        </w:rPr>
        <w:t xml:space="preserve">Scansione delle vulnerabilità di sicurezza nel codice interno di applicazioni Web e Desktop mediante Static Analysis Security Testing (Test di sicurezza basato su analisi statica).</w:t>
      </w:r>
    </w:p>
    <w:p w14:paraId="4129F5BE" w14:textId="2BB169C3" w:rsidR="006627F4" w:rsidRPr="008A22AC" w:rsidRDefault="004041E6" w:rsidP="0008248F">
      <w:pPr>
        <w:pStyle w:val="ListParagraph"/>
        <w:numPr>
          <w:ilvl w:val="0"/>
          <w:numId w:val="3"/>
        </w:numPr>
        <w:rPr>
          <w:rFonts w:cstheme="minorHAnsi"/>
          <w:lang w:val="it-IT"/>
        </w:rPr>
      </w:pPr>
      <w:r>
        <w:rPr>
          <w:lang w:val="it-IT"/>
          <w:rFonts/>
        </w:rPr>
        <w:t xml:space="preserve">Analisi di applicazioni Web e servizi Web durante l'esecuzione per rilevare vulnerabilità della sicurezza mediante Interactive Application Security Testing (Test interattivo di sicurezza delle applicazioni).</w:t>
      </w:r>
    </w:p>
    <w:p w14:paraId="43DB284F" w14:textId="1A666B96" w:rsidR="00F375BE" w:rsidRPr="008A22AC" w:rsidRDefault="3B4FBCE2" w:rsidP="0008248F">
      <w:pPr>
        <w:pStyle w:val="ListParagraph"/>
        <w:numPr>
          <w:ilvl w:val="0"/>
          <w:numId w:val="3"/>
        </w:numPr>
        <w:rPr>
          <w:rFonts w:cstheme="minorHAnsi"/>
          <w:lang w:val="it-IT"/>
        </w:rPr>
      </w:pPr>
      <w:r>
        <w:rPr>
          <w:lang w:val="it-IT"/>
          <w:rFonts/>
        </w:rPr>
        <w:t xml:space="preserve">Identificazione di pacchetti vulnerabili Open Source utilizzati in un'applicazione mediante Software Composition Analysis (Analisi di composizione del software).</w:t>
      </w:r>
    </w:p>
    <w:p w14:paraId="49A6268E" w14:textId="77777777" w:rsidR="00F375BE" w:rsidRPr="008A22AC" w:rsidRDefault="00F375BE" w:rsidP="0008248F">
      <w:pPr>
        <w:pStyle w:val="ListParagraph"/>
        <w:numPr>
          <w:ilvl w:val="0"/>
          <w:numId w:val="3"/>
        </w:numPr>
        <w:rPr>
          <w:rFonts w:cstheme="minorHAnsi"/>
          <w:lang w:val="it-IT"/>
        </w:rPr>
      </w:pPr>
      <w:r>
        <w:rPr>
          <w:lang w:val="it-IT"/>
          <w:rFonts/>
        </w:rPr>
        <w:t xml:space="preserve">Rapporti dettagliati sulle vulnerabilità della sicurezza, comprendenti sia riepiloghi di alto livello degli esiti sia misure correttive che possono essere implementate dagli sviluppatori. </w:t>
      </w:r>
    </w:p>
    <w:p w14:paraId="0621F6D9" w14:textId="77777777" w:rsidR="00F375BE" w:rsidRPr="008A22AC" w:rsidRDefault="00F375BE" w:rsidP="0008248F">
      <w:pPr>
        <w:pStyle w:val="ListParagraph"/>
        <w:numPr>
          <w:ilvl w:val="0"/>
          <w:numId w:val="3"/>
        </w:numPr>
        <w:rPr>
          <w:rFonts w:cstheme="minorHAnsi"/>
          <w:lang w:val="it-IT"/>
        </w:rPr>
      </w:pPr>
      <w:r>
        <w:rPr>
          <w:lang w:val="it-IT"/>
          <w:rFonts/>
        </w:rPr>
        <w:t xml:space="preserve">Integrazione con varie piattaforme DevOps. </w:t>
      </w:r>
    </w:p>
    <w:p w14:paraId="1CCAF5A2" w14:textId="0B0C97DF" w:rsidR="00F375BE" w:rsidRPr="008A22AC" w:rsidRDefault="00F375BE" w:rsidP="00F375BE">
      <w:pPr>
        <w:rPr>
          <w:rFonts w:cstheme="minorHAnsi"/>
          <w:b/>
          <w:lang w:val="it-IT"/>
        </w:rPr>
      </w:pPr>
      <w:r>
        <w:rPr>
          <w:b w:val="true"/>
          <w:lang w:val="it-IT"/>
          <w:rFonts/>
        </w:rPr>
        <w:t xml:space="preserve">1.1 Offerta </w:t>
      </w:r>
    </w:p>
    <w:p w14:paraId="313E14CE" w14:textId="23399E00" w:rsidR="00F375BE" w:rsidRPr="008A22AC" w:rsidRDefault="00A63664" w:rsidP="00F375BE">
      <w:pPr>
        <w:rPr>
          <w:rFonts w:cstheme="minorHAnsi"/>
          <w:lang w:val="it-IT"/>
        </w:rPr>
      </w:pPr>
      <w:r>
        <w:rPr>
          <w:lang w:val="it-IT"/>
          <w:rFonts/>
        </w:rPr>
        <w:t xml:space="preserve">Il Cliente può scegliere tra le seguenti offerte disponibili:</w:t>
      </w:r>
    </w:p>
    <w:p w14:paraId="35B0EB38" w14:textId="77777777" w:rsidR="00F375BE" w:rsidRPr="008A22AC" w:rsidRDefault="00F375BE" w:rsidP="00F375BE">
      <w:pPr>
        <w:rPr>
          <w:rFonts w:cstheme="minorHAnsi"/>
          <w:b/>
          <w:lang w:val="it-IT"/>
        </w:rPr>
      </w:pPr>
      <w:r>
        <w:rPr>
          <w:b w:val="true"/>
          <w:lang w:val="it-IT"/>
          <w:rFonts/>
        </w:rPr>
        <w:t xml:space="preserve">1.1.1 HCL AppScan IAST Analyzer </w:t>
      </w:r>
    </w:p>
    <w:p w14:paraId="5F3C88A7" w14:textId="77777777" w:rsidR="00F375BE" w:rsidRPr="008A22AC" w:rsidRDefault="00F375BE" w:rsidP="00F375BE">
      <w:pPr>
        <w:rPr>
          <w:rFonts w:cstheme="minorHAnsi"/>
          <w:lang w:val="it-IT"/>
        </w:rPr>
      </w:pPr>
      <w:r>
        <w:rPr>
          <w:lang w:val="it-IT"/>
          <w:rFonts/>
        </w:rPr>
        <w:t xml:space="preserve">HCL AppScan Analyzer può essere ordinato per Istanza applicazione, per Lavoro (scansione), per Evento simultaneo (scansione) o come Istanza di simultaneità e consente i seguenti tipi di scansione: </w:t>
      </w:r>
    </w:p>
    <w:p w14:paraId="3053492F" w14:textId="3567DB0B" w:rsidR="00F375BE" w:rsidRPr="008A22AC" w:rsidRDefault="00F375BE" w:rsidP="0008248F">
      <w:pPr>
        <w:pStyle w:val="ListParagraph"/>
        <w:numPr>
          <w:ilvl w:val="0"/>
          <w:numId w:val="5"/>
        </w:numPr>
        <w:rPr>
          <w:rFonts w:cstheme="minorHAnsi"/>
          <w:lang w:val="it-IT"/>
        </w:rPr>
      </w:pPr>
      <w:r>
        <w:rPr>
          <w:lang w:val="it-IT"/>
          <w:rFonts/>
        </w:rPr>
        <w:t xml:space="preserve">Dynamic Analyzer – Test di siti Web in pre-produzione o produzione</w:t>
      </w:r>
    </w:p>
    <w:p w14:paraId="062B53BD" w14:textId="6C44F33B" w:rsidR="00F375BE" w:rsidRPr="008A22AC" w:rsidRDefault="79E6FFBD" w:rsidP="79E6FFBD">
      <w:pPr>
        <w:pStyle w:val="ListParagraph"/>
        <w:numPr>
          <w:ilvl w:val="0"/>
          <w:numId w:val="4"/>
        </w:numPr>
      </w:pPr>
      <w:r>
        <w:rPr>
          <w:lang w:val="it-IT"/>
          <w:rFonts/>
        </w:rPr>
        <w:t xml:space="preserve">Mobile Analyzer – Test di applicazioni iOS o Android </w:t>
      </w:r>
    </w:p>
    <w:p w14:paraId="47382DF6" w14:textId="09388BF9" w:rsidR="00F375BE" w:rsidRPr="00D70E9A" w:rsidRDefault="00F375BE" w:rsidP="00D70E9A">
      <w:pPr>
        <w:pStyle w:val="ListParagraph"/>
        <w:numPr>
          <w:ilvl w:val="0"/>
          <w:numId w:val="4"/>
        </w:numPr>
        <w:rPr>
          <w:rFonts w:cstheme="minorHAnsi"/>
          <w:lang w:val="it-IT"/>
        </w:rPr>
      </w:pPr>
      <w:r>
        <w:rPr>
          <w:lang w:val="it-IT"/>
          <w:rFonts/>
        </w:rPr>
        <w:t xml:space="preserve">Static Analyzer – Test di codice byte o sorgente dell'applicazione </w:t>
      </w:r>
    </w:p>
    <w:p w14:paraId="4AF5E777" w14:textId="37E28C99" w:rsidR="00571A8A" w:rsidRPr="008A22AC" w:rsidRDefault="00571A8A" w:rsidP="00571A8A">
      <w:pPr>
        <w:rPr>
          <w:rFonts w:cstheme="minorHAnsi"/>
          <w:b/>
          <w:lang w:val="it-IT"/>
        </w:rPr>
      </w:pPr>
      <w:r>
        <w:rPr>
          <w:b w:val="true"/>
          <w:lang w:val="it-IT"/>
          <w:rFonts/>
        </w:rPr>
        <w:t xml:space="preserve">1.1.2 HCL AppScan IAST Analyzer</w:t>
      </w:r>
    </w:p>
    <w:p w14:paraId="4B2A6DEB" w14:textId="40D16CC0" w:rsidR="00571A8A" w:rsidRPr="008A22AC" w:rsidRDefault="00571A8A" w:rsidP="00344CFD">
      <w:pPr>
        <w:rPr>
          <w:rFonts w:cstheme="minorHAnsi"/>
          <w:lang w:val="it-IT"/>
        </w:rPr>
      </w:pPr>
      <w:r>
        <w:rPr>
          <w:lang w:val="it-IT"/>
          <w:rFonts/>
        </w:rPr>
        <w:t xml:space="preserve">HCL AppScan IAST Analyzer identifica le vulnerabilità della sicurezza delle applicazioni Web e dei servizi Web in esecuzione. Un agente IAST controlla l'applicazione per monitorarne passivamente il comportamento durante le interazioni con gli utenti e segnala le vulnerabilità identificate a HCL AppScan on Cloud. HCL AppScan IAST Analyzer può essere ordinato per Istanza applicazione o per Evento simultaneo (scansione).</w:t>
      </w:r>
    </w:p>
    <w:p w14:paraId="53666127" w14:textId="445D08BE" w:rsidR="00F375BE" w:rsidRPr="008A22AC" w:rsidRDefault="00F375BE" w:rsidP="00F375BE">
      <w:pPr>
        <w:rPr>
          <w:rFonts w:cstheme="minorHAnsi"/>
          <w:b/>
          <w:lang w:val="it-IT"/>
        </w:rPr>
      </w:pPr>
      <w:r>
        <w:rPr>
          <w:b w:val="true"/>
          <w:lang w:val="it-IT"/>
          <w:rFonts/>
        </w:rPr>
        <w:t xml:space="preserve">1.1.3 HCL AppScan Open Source Analyzer </w:t>
      </w:r>
    </w:p>
    <w:p w14:paraId="19A9E784" w14:textId="77777777" w:rsidR="00F375BE" w:rsidRPr="008A22AC" w:rsidRDefault="00F375BE" w:rsidP="00F375BE">
      <w:pPr>
        <w:rPr>
          <w:rFonts w:cstheme="minorHAnsi"/>
          <w:lang w:val="it-IT"/>
        </w:rPr>
      </w:pPr>
      <w:r>
        <w:rPr>
          <w:lang w:val="it-IT"/>
          <w:rFonts/>
        </w:rPr>
        <w:t xml:space="preserve">HCL AppScan Open Source Analyzer rileva e identifica i pacchetti open source utilizzati nel codice dell'applicazione. Analizza le eventuali vulnerabilità di tali pacchetti e consiglia misure correttive. HCL AppScan Open Source Analyzer può essere ordinato per Istanza applicazione, per Evento simultaneo (scansione) o per Istanza simultanea.</w:t>
      </w:r>
    </w:p>
    <w:p w14:paraId="26237E55" w14:textId="77777777" w:rsidR="00F375BE" w:rsidRPr="008A22AC" w:rsidRDefault="00F375BE" w:rsidP="00F375BE">
      <w:pPr>
        <w:rPr>
          <w:rFonts w:cstheme="minorHAnsi"/>
          <w:b/>
          <w:sz w:val="28"/>
          <w:lang w:val="it-IT"/>
        </w:rPr>
      </w:pPr>
      <w:r>
        <w:rPr>
          <w:b w:val="true"/>
          <w:sz w:val="28"/>
          <w:lang w:val="it-IT"/>
          <w:rFonts/>
        </w:rPr>
        <w:t xml:space="preserve">2. Metriche di addebito</w:t>
      </w:r>
    </w:p>
    <w:p w14:paraId="3AB25261" w14:textId="77777777" w:rsidR="00F375BE" w:rsidRPr="008A22AC" w:rsidRDefault="00F375BE" w:rsidP="00F375BE">
      <w:pPr>
        <w:rPr>
          <w:rFonts w:cstheme="minorHAnsi"/>
          <w:lang w:val="it-IT"/>
        </w:rPr>
      </w:pPr>
      <w:r>
        <w:rPr>
          <w:lang w:val="it-IT"/>
          <w:rFonts/>
        </w:rPr>
        <w:t xml:space="preserve">A questo Servizio cloud si applicano le seguenti metriche di addebito: </w:t>
      </w:r>
    </w:p>
    <w:p w14:paraId="660F225C" w14:textId="22B4A4A6" w:rsidR="00F375BE" w:rsidRPr="008A22AC" w:rsidRDefault="00F375BE" w:rsidP="0008248F">
      <w:pPr>
        <w:pStyle w:val="ListParagraph"/>
        <w:numPr>
          <w:ilvl w:val="0"/>
          <w:numId w:val="7"/>
        </w:numPr>
        <w:rPr>
          <w:rFonts w:cstheme="minorHAnsi"/>
          <w:lang w:val="it-IT"/>
        </w:rPr>
      </w:pPr>
      <w:r>
        <w:rPr>
          <w:b w:val="true"/>
          <w:lang w:val="it-IT"/>
          <w:rFonts/>
        </w:rPr>
        <w:t xml:space="preserve">Istanza applicazione</w:t>
      </w:r>
      <w:r w:rsidRPr="008A22AC">
        <w:rPr>
          <w:lang w:val="it-IT"/>
          <w:rFonts/>
        </w:rPr>
        <w:t xml:space="preserve"> è una copia di un programma applicativo software dal nome univoco connessa con o gestita dal Servizio cloud. Un'Applicazione in più ambienti (come test, sviluppo, staging o produzione) o più istanze di un'Applicazione in un singolo ambiente sono considerate Istanze applicazione separate. </w:t>
      </w:r>
    </w:p>
    <w:p w14:paraId="6DA61C6E" w14:textId="77777777" w:rsidR="00F375BE" w:rsidRPr="008A22AC" w:rsidRDefault="79E6FFBD" w:rsidP="79E6FFBD">
      <w:pPr>
        <w:ind w:left="720"/>
      </w:pPr>
      <w:r>
        <w:rPr>
          <w:lang w:val="it-IT"/>
          <w:rFonts/>
        </w:rPr>
        <w:t xml:space="preserve">Per questo Servizio cloud, le Istanze applicazione sono scansioni consecutive di una singola applicazione, ulteriormente definita come segue: </w:t>
      </w:r>
    </w:p>
    <w:p w14:paraId="189D8F37" w14:textId="09A4933F" w:rsidR="00F375BE" w:rsidRPr="008A22AC" w:rsidRDefault="00F375BE" w:rsidP="0008248F">
      <w:pPr>
        <w:pStyle w:val="ListParagraph"/>
        <w:numPr>
          <w:ilvl w:val="0"/>
          <w:numId w:val="6"/>
        </w:numPr>
        <w:rPr>
          <w:rFonts w:cstheme="minorHAnsi"/>
          <w:lang w:val="it-IT"/>
        </w:rPr>
      </w:pPr>
      <w:r>
        <w:rPr>
          <w:lang w:val="it-IT"/>
          <w:rFonts/>
        </w:rPr>
        <w:t xml:space="preserve">Per il test dinamico: un sito Web o un servizio Web indirizzabile tramite URL pubblico o privato. Ogni Istanza applicazione dà diritto a un sito di massimo 5.000 pagine in un singolo dominio. </w:t>
      </w:r>
    </w:p>
    <w:p w14:paraId="6F8BF024" w14:textId="77777777" w:rsidR="00F375BE" w:rsidRPr="008A22AC" w:rsidRDefault="00F375BE" w:rsidP="0008248F">
      <w:pPr>
        <w:pStyle w:val="ListParagraph"/>
        <w:numPr>
          <w:ilvl w:val="0"/>
          <w:numId w:val="6"/>
        </w:numPr>
        <w:rPr>
          <w:rFonts w:cstheme="minorHAnsi"/>
          <w:lang w:val="it-IT"/>
        </w:rPr>
      </w:pPr>
      <w:r>
        <w:rPr>
          <w:lang w:val="it-IT"/>
          <w:rFonts/>
        </w:rPr>
        <w:t xml:space="preserve">Per il test statico: un'unità di codice compilata per un singolo ambiente eseguibile. Ogni Istanza applicazione dà diritto alla scansione di unità di codice fino a 1.000.000 di righe. </w:t>
      </w:r>
    </w:p>
    <w:p w14:paraId="66889A00" w14:textId="77777777" w:rsidR="00F375BE" w:rsidRPr="008A22AC" w:rsidRDefault="00F375BE" w:rsidP="0008248F">
      <w:pPr>
        <w:pStyle w:val="ListParagraph"/>
        <w:numPr>
          <w:ilvl w:val="0"/>
          <w:numId w:val="6"/>
        </w:numPr>
        <w:rPr>
          <w:rFonts w:cstheme="minorHAnsi"/>
          <w:lang w:val="it-IT"/>
        </w:rPr>
      </w:pPr>
      <w:r>
        <w:rPr>
          <w:lang w:val="it-IT"/>
          <w:rFonts/>
        </w:rPr>
        <w:t xml:space="preserve">Per il test di applicazioni per dispositivi mobili: un'unità di codice binario che può essere eseguita su un dispositivo mobile. Ogni diversa piattaforma per dispositivi mobili (ad esempio, iOS e Android) rappresenta istanze di applicazione diverse. </w:t>
      </w:r>
    </w:p>
    <w:p w14:paraId="2188D4D5" w14:textId="6EC3DA5A" w:rsidR="00F375BE" w:rsidRDefault="00F375BE" w:rsidP="0008248F">
      <w:pPr>
        <w:pStyle w:val="ListParagraph"/>
        <w:numPr>
          <w:ilvl w:val="0"/>
          <w:numId w:val="6"/>
        </w:numPr>
        <w:rPr>
          <w:rFonts w:cstheme="minorHAnsi"/>
          <w:lang w:val="it-IT"/>
        </w:rPr>
      </w:pPr>
      <w:r>
        <w:rPr>
          <w:lang w:val="it-IT"/>
          <w:rFonts/>
        </w:rPr>
        <w:t xml:space="preserve">Per il test di pacchetti Open Source: un'unità di codice compilata per un singolo ambiente eseguibile. Ogni Istanza applicazione dà diritto alla scansione di unità di codice fino a 1.000.000 di righe. </w:t>
      </w:r>
    </w:p>
    <w:p w14:paraId="6A9C9A24" w14:textId="4D95DF4E" w:rsidR="005F4095" w:rsidRPr="00D70E9A" w:rsidRDefault="005F4095" w:rsidP="00D70E9A">
      <w:pPr>
        <w:pStyle w:val="ListParagraph"/>
        <w:numPr>
          <w:ilvl w:val="0"/>
          <w:numId w:val="6"/>
        </w:numPr>
        <w:rPr>
          <w:rFonts w:cstheme="minorHAnsi"/>
          <w:lang w:val="it-IT"/>
        </w:rPr>
      </w:pPr>
      <w:r>
        <w:rPr>
          <w:lang w:val="it-IT"/>
          <w:rFonts/>
        </w:rPr>
        <w:t xml:space="preserve">Per il test interattivo: un sito Web o un servizio Web indirizzabile tramite URL pubblico o privato. </w:t>
      </w:r>
    </w:p>
    <w:p w14:paraId="51E621C3" w14:textId="074D42B1" w:rsidR="00AE12F3" w:rsidRPr="008A22AC" w:rsidRDefault="00AE12F3" w:rsidP="00AE12F3">
      <w:pPr>
        <w:pStyle w:val="ListParagraph"/>
        <w:ind w:left="1440"/>
        <w:rPr>
          <w:rFonts w:cstheme="minorHAnsi"/>
          <w:lang w:val="it-IT"/>
        </w:rPr>
      </w:pPr>
    </w:p>
    <w:p w14:paraId="2224F690" w14:textId="0E703C5F" w:rsidR="00F375BE" w:rsidRPr="008A22AC" w:rsidRDefault="00F375BE" w:rsidP="0008248F">
      <w:pPr>
        <w:pStyle w:val="ListParagraph"/>
        <w:numPr>
          <w:ilvl w:val="0"/>
          <w:numId w:val="6"/>
        </w:numPr>
        <w:ind w:left="720"/>
        <w:rPr>
          <w:rFonts w:cstheme="minorHAnsi"/>
          <w:lang w:val="it-IT"/>
        </w:rPr>
      </w:pPr>
      <w:r>
        <w:rPr>
          <w:b w:val="true"/>
          <w:lang w:val="it-IT"/>
          <w:rFonts/>
        </w:rPr>
        <w:t xml:space="preserve">Eventi simultanei</w:t>
      </w:r>
      <w:r>
        <w:rPr>
          <w:lang w:val="it-IT"/>
          <w:rFonts/>
        </w:rPr>
        <w:t xml:space="preserve"> è il numero totale di occorrenze simultanee di un evento specifico che viene elaborato dal Servizio cloud o è correlato al suo utilizzo.</w:t>
      </w:r>
    </w:p>
    <w:p w14:paraId="7F13C721" w14:textId="4DFA74A3" w:rsidR="00F375BE" w:rsidRPr="008A22AC" w:rsidRDefault="00F375BE" w:rsidP="0008248F">
      <w:pPr>
        <w:pStyle w:val="ListParagraph"/>
        <w:numPr>
          <w:ilvl w:val="0"/>
          <w:numId w:val="6"/>
        </w:numPr>
        <w:ind w:left="720"/>
        <w:rPr>
          <w:rFonts w:cstheme="minorHAnsi"/>
          <w:lang w:val="it-IT"/>
        </w:rPr>
      </w:pPr>
      <w:r>
        <w:rPr>
          <w:b w:val="true"/>
          <w:lang w:val="it-IT"/>
          <w:rFonts/>
        </w:rPr>
        <w:t xml:space="preserve">Istanza di simultaneità</w:t>
      </w:r>
      <w:r>
        <w:rPr>
          <w:lang w:val="it-IT"/>
          <w:rFonts/>
        </w:rPr>
        <w:t xml:space="preserve"> è ogni accesso a una configurazione specifica del Servizio cloud. Per ogni autorizzazione Istanza di simultaneità, non vi è alcun limite al numero di Lavori eseguiti o Istanze applicazione (Applicazioni connesse), a condizione, tuttavia, che il numero di Eventi simultanei in un dato momento non possa superare il numero di autorizzazioni simultanee totali per l'Istanza di simultaneità. </w:t>
      </w:r>
    </w:p>
    <w:p w14:paraId="34CB2E81" w14:textId="53EEEAC2" w:rsidR="004435A8" w:rsidRPr="008A22AC" w:rsidRDefault="00F375BE" w:rsidP="0008248F">
      <w:pPr>
        <w:pStyle w:val="ListParagraph"/>
        <w:numPr>
          <w:ilvl w:val="0"/>
          <w:numId w:val="6"/>
        </w:numPr>
        <w:ind w:left="720"/>
        <w:rPr>
          <w:rFonts w:cstheme="minorHAnsi"/>
          <w:lang w:val="it-IT"/>
        </w:rPr>
      </w:pPr>
      <w:r>
        <w:rPr>
          <w:b w:val="true"/>
          <w:lang w:val="it-IT"/>
          <w:rFonts/>
        </w:rPr>
        <w:t xml:space="preserve">Lavoro</w:t>
      </w:r>
      <w:r>
        <w:rPr>
          <w:lang w:val="it-IT"/>
          <w:rFonts/>
        </w:rPr>
        <w:t xml:space="preserve"> è un oggetto all'interno del Servizio cloud che non può essere ulteriormente suddiviso e che rappresenta un processo di elaborazione che include tutti i relativi processi secondari gestiti o elaborati dal Servizio cloud. È necessario ottenere autorizzazioni sufficienti a coprire il numero totale di Lavori elaborati o gestiti dal Servizio cloud durante il periodo di misurazione specificato nell'Ordine o in altro Allegato applicabile.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eastAsia="Times New Roman" w:cstheme="minorHAnsi"/>
                <w:color w:val="212529"/>
                <w:sz w:val="18"/>
                <w:szCs w:val="18"/>
                <w:lang w:val="it-IT"/>
              </w:rPr>
            </w:pPr>
            <w:r>
              <w:rPr>
                <w:b w:val="true"/>
                <w:color w:val="212529"/>
                <w:sz w:val="18"/>
                <w:lang w:val="it-IT"/>
                <w:rFonts/>
              </w:rPr>
              <w:t xml:space="preserve">AppScan per Scansione</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eastAsia="Times New Roman" w:cstheme="minorHAnsi"/>
                <w:color w:val="212529"/>
                <w:sz w:val="18"/>
                <w:szCs w:val="18"/>
                <w:lang w:val="it-IT"/>
              </w:rPr>
            </w:pPr>
            <w:r>
              <w:rPr>
                <w:color w:val="212529"/>
                <w:sz w:val="18"/>
                <w:lang w:val="it-IT"/>
                <w:rFonts/>
              </w:rPr>
              <w:t xml:space="preserve">Tipo di sottoscrizione</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Descrizione</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Fornisce una singola scansione (che deve essere considerata un Lavoro) di un'applicazione mediante una di queste tecnologie di scansione (Static Analyzer, Dynamic Analyzer o Mobile Analyzer).</w:t>
            </w:r>
          </w:p>
          <w:p w14:paraId="0742DA9B" w14:textId="609E0491"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Le scansioni acquistate devono essere utilizzate entro dodici (12) mesi dalla data di acquisto; dopo questo termine, esse scadono senza alcun rimborso. Nessun limite di tempo per scansione; le scansioni vengono eseguite fino al completamento. </w:t>
            </w:r>
          </w:p>
          <w:p w14:paraId="2AC92688" w14:textId="08480573"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Limite di tre (3) soli lavori in esecuzione per volta.</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eastAsia="Times New Roman" w:cstheme="minorHAnsi"/>
                <w:color w:val="212529"/>
                <w:sz w:val="18"/>
                <w:szCs w:val="18"/>
                <w:lang w:val="it-IT"/>
              </w:rPr>
            </w:pPr>
            <w:r>
              <w:rPr>
                <w:b w:val="true"/>
                <w:color w:val="212529"/>
                <w:sz w:val="18"/>
                <w:lang w:val="it-IT"/>
                <w:rFonts/>
              </w:rPr>
              <w:t xml:space="preserve">AppScan per Applicazione</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eastAsia="Times New Roman" w:cstheme="minorHAnsi"/>
                <w:color w:val="212529"/>
                <w:sz w:val="18"/>
                <w:szCs w:val="18"/>
                <w:lang w:val="it-IT"/>
              </w:rPr>
            </w:pPr>
            <w:r>
              <w:rPr>
                <w:color w:val="212529"/>
                <w:sz w:val="18"/>
                <w:lang w:val="it-IT"/>
                <w:rFonts/>
              </w:rPr>
              <w:t xml:space="preserve">Tipo di sottoscrizione</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Descrizione</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rFonts w:eastAsia="Times New Roman"/>
                <w:color w:val="212529"/>
                <w:sz w:val="18"/>
                <w:szCs w:val="18"/>
                <w:lang w:val="it-IT"/>
              </w:rPr>
            </w:pPr>
            <w:r>
              <w:rPr>
                <w:color w:val="212529"/>
                <w:sz w:val="18"/>
                <w:lang w:val="it-IT"/>
                <w:rFonts/>
              </w:rPr>
              <w:t xml:space="preserve">Sottoscrizione annuale che fornisce la scansione illimitata di un'applicazione (“Istanza applicazione”) mediante una di queste tecnologie di scansione (Static Analyzer, Dynamic Analyzer o Mobile Analyzer) che sono appropriate in base all'applicazione.</w:t>
            </w:r>
          </w:p>
          <w:p w14:paraId="608030C1" w14:textId="60F73F66"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Limite di un (1) solo lavoro in esecuzione per volta.</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eastAsia="Times New Roman" w:cstheme="minorHAnsi"/>
                <w:color w:val="212529"/>
                <w:sz w:val="18"/>
                <w:szCs w:val="18"/>
                <w:lang w:val="it-IT"/>
              </w:rPr>
            </w:pPr>
            <w:r>
              <w:rPr>
                <w:b w:val="true"/>
                <w:color w:val="212529"/>
                <w:sz w:val="18"/>
                <w:lang w:val="it-IT"/>
                <w:rFonts/>
              </w:rPr>
              <w:t xml:space="preserve">Opzioni tariffarie senza limiti di AppScan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eastAsia="Times New Roman" w:cstheme="minorHAnsi"/>
                <w:color w:val="212529"/>
                <w:sz w:val="18"/>
                <w:szCs w:val="18"/>
                <w:lang w:val="it-IT"/>
              </w:rPr>
            </w:pPr>
            <w:r>
              <w:rPr>
                <w:color w:val="212529"/>
                <w:sz w:val="18"/>
                <w:lang w:val="it-IT"/>
                <w:rFonts/>
              </w:rPr>
              <w:t xml:space="preserve">Tipo di sottoscrizione</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Descrizione</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Sottoscrizione annuale che fornisce la scansione di qualsiasi applicazione mediante una qualsiasi di queste tecnologie di scansione (Static Analyzer, Dynamic Analyzer o Mobile Analyzer).</w:t>
            </w:r>
          </w:p>
          <w:p w14:paraId="2B226F2B" w14:textId="353F0ECF"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Limite di un (1) lavoro in esecuzione per ciascuna autorizzazione di scansione simultanea. </w:t>
            </w:r>
          </w:p>
          <w:p w14:paraId="630F8A61" w14:textId="77777777"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(Istanza di simultaneità di “1”)</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ASoC 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Sottoscrizione annuale che fornisce fino a dieci (10) scansioni simultanee di qualsiasi applicazione mediante una qualsiasi di queste tecnologie di scansione (Static Analyzer, Dynamic Analyzer o Mobile Analyzer).</w:t>
            </w:r>
          </w:p>
          <w:p w14:paraId="7234B024" w14:textId="088E9503"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Limite fino a dieci (10) lavori in esecuzione per ciascuna autorizzazione “Premium”.</w:t>
            </w:r>
          </w:p>
          <w:p w14:paraId="6A564552" w14:textId="77777777"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(Istanza di simultaneità di “10”)</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ASoC_PerConcurrent e ASoC_Premium possono essere abbinati per soddisfare i requisiti di simultaneità specifici di un cliente.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eastAsia="Times New Roman" w:cstheme="minorHAnsi"/>
                <w:color w:val="212529"/>
                <w:sz w:val="18"/>
                <w:szCs w:val="18"/>
                <w:lang w:val="it-IT"/>
              </w:rPr>
            </w:pPr>
            <w:r>
              <w:rPr>
                <w:b w:val="true"/>
                <w:color w:val="212529"/>
                <w:sz w:val="18"/>
                <w:lang w:val="it-IT"/>
                <w:rFonts/>
              </w:rPr>
              <w:t xml:space="preserve">AppScan IAST Analyzer Per Applicazione</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eastAsia="Times New Roman" w:cstheme="minorHAnsi"/>
                <w:color w:val="212529"/>
                <w:sz w:val="18"/>
                <w:szCs w:val="18"/>
                <w:lang w:val="it-IT"/>
              </w:rPr>
            </w:pPr>
            <w:r>
              <w:rPr>
                <w:color w:val="212529"/>
                <w:sz w:val="18"/>
                <w:lang w:val="it-IT"/>
                <w:rFonts/>
              </w:rPr>
              <w:t xml:space="preserve">Tipo di sottoscrizione</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eastAsia="Times New Roman" w:cstheme="minorHAnsi"/>
                <w:color w:val="212529"/>
                <w:sz w:val="18"/>
                <w:szCs w:val="18"/>
                <w:lang w:val="it-IT"/>
              </w:rPr>
            </w:pPr>
            <w:r>
              <w:rPr>
                <w:color w:val="212529"/>
                <w:sz w:val="18"/>
                <w:lang w:val="it-IT"/>
                <w:rFonts/>
              </w:rPr>
              <w:t xml:space="preserve">Descrizione</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eastAsia="Times New Roman" w:cstheme="minorHAnsi"/>
                <w:color w:val="212529"/>
                <w:sz w:val="18"/>
                <w:szCs w:val="18"/>
                <w:lang w:val="it-IT"/>
              </w:rPr>
            </w:pPr>
            <w:r>
              <w:rPr>
                <w:color w:val="212529"/>
                <w:sz w:val="18"/>
                <w:lang w:val="it-IT"/>
                <w:rFonts/>
              </w:rPr>
              <w:t xml:space="preserve">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eastAsia="Times New Roman" w:cstheme="minorHAnsi"/>
                <w:color w:val="212529"/>
                <w:sz w:val="18"/>
                <w:szCs w:val="18"/>
                <w:lang w:val="it-IT"/>
              </w:rPr>
            </w:pPr>
            <w:r>
              <w:rPr>
                <w:color w:val="212529"/>
                <w:sz w:val="18"/>
                <w:lang w:val="it-IT"/>
                <w:rFonts/>
              </w:rPr>
              <w:t xml:space="preserve">Sottoscrizione annuale che fornisce la scansione IAST illimitata di una (1) applicazione (“Istanza applicazione”).</w:t>
            </w:r>
          </w:p>
          <w:p w14:paraId="2F383908" w14:textId="794AB709" w:rsidR="00D73CCA" w:rsidRPr="008A22AC" w:rsidRDefault="00D73CCA" w:rsidP="002C0146">
            <w:pPr>
              <w:spacing w:after="100" w:afterAutospacing="1" w:line="240" w:lineRule="auto"/>
              <w:rPr>
                <w:rFonts w:eastAsia="Times New Roman" w:cstheme="minorHAnsi"/>
                <w:color w:val="212529"/>
                <w:sz w:val="18"/>
                <w:szCs w:val="18"/>
                <w:lang w:val="it-IT"/>
              </w:rPr>
            </w:pPr>
            <w:r>
              <w:rPr>
                <w:color w:val="212529"/>
                <w:sz w:val="18"/>
                <w:lang w:val="it-IT"/>
                <w:rFonts/>
              </w:rPr>
              <w:t xml:space="preserve">Limite di un (1) solo lavoro IAST in esecuzione per volta.</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eastAsia="Times New Roman" w:cstheme="minorHAnsi"/>
                <w:color w:val="212529"/>
                <w:sz w:val="18"/>
                <w:szCs w:val="18"/>
                <w:lang w:val="it-IT"/>
              </w:rPr>
            </w:pPr>
            <w:r>
              <w:rPr>
                <w:b w:val="true"/>
                <w:color w:val="212529"/>
                <w:sz w:val="18"/>
                <w:lang w:val="it-IT"/>
                <w:rFonts/>
              </w:rPr>
              <w:t xml:space="preserve">Opzioni tariffarie senza limiti di AppScan IAST Analyzer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eastAsia="Times New Roman" w:cstheme="minorHAnsi"/>
                <w:color w:val="212529"/>
                <w:sz w:val="18"/>
                <w:szCs w:val="18"/>
                <w:lang w:val="it-IT"/>
              </w:rPr>
            </w:pPr>
            <w:r>
              <w:rPr>
                <w:color w:val="212529"/>
                <w:sz w:val="18"/>
                <w:lang w:val="it-IT"/>
                <w:rFonts/>
              </w:rPr>
              <w:t xml:space="preserve">Tipo di sottoscrizione</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eastAsia="Times New Roman" w:cstheme="minorHAnsi"/>
                <w:color w:val="212529"/>
                <w:sz w:val="18"/>
                <w:szCs w:val="18"/>
                <w:lang w:val="it-IT"/>
              </w:rPr>
            </w:pPr>
            <w:r>
              <w:rPr>
                <w:color w:val="212529"/>
                <w:sz w:val="18"/>
                <w:lang w:val="it-IT"/>
                <w:rFonts/>
              </w:rPr>
              <w:t xml:space="preserve">Descrizione</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eastAsia="Times New Roman" w:cstheme="minorHAnsi"/>
                <w:color w:val="212529"/>
                <w:sz w:val="18"/>
                <w:szCs w:val="18"/>
                <w:lang w:val="it-IT"/>
              </w:rPr>
            </w:pPr>
            <w:r>
              <w:rPr>
                <w:color w:val="212529"/>
                <w:sz w:val="18"/>
                <w:lang w:val="it-IT"/>
                <w:rFonts/>
              </w:rPr>
              <w:t xml:space="preserve">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eastAsia="Times New Roman" w:cstheme="minorHAnsi"/>
                <w:color w:val="212529"/>
                <w:sz w:val="18"/>
                <w:szCs w:val="18"/>
                <w:lang w:val="it-IT"/>
              </w:rPr>
            </w:pPr>
            <w:r>
              <w:rPr>
                <w:color w:val="212529"/>
                <w:sz w:val="18"/>
                <w:lang w:val="it-IT"/>
                <w:rFonts/>
              </w:rPr>
              <w:t xml:space="preserve">Sottoscrizione annuale che fornisce la scansione IAST di qualsiasi applicazione.</w:t>
            </w:r>
          </w:p>
          <w:p w14:paraId="4FB6D3E8" w14:textId="282EB9F5" w:rsidR="00D73CCA" w:rsidRPr="008A22AC" w:rsidRDefault="00D73CCA" w:rsidP="002C0146">
            <w:pPr>
              <w:spacing w:after="100" w:afterAutospacing="1" w:line="240" w:lineRule="auto"/>
              <w:rPr>
                <w:rFonts w:eastAsia="Times New Roman" w:cstheme="minorHAnsi"/>
                <w:color w:val="212529"/>
                <w:sz w:val="18"/>
                <w:szCs w:val="18"/>
                <w:lang w:val="it-IT"/>
              </w:rPr>
            </w:pPr>
            <w:r>
              <w:rPr>
                <w:color w:val="212529"/>
                <w:sz w:val="18"/>
                <w:lang w:val="it-IT"/>
                <w:rFonts/>
              </w:rPr>
              <w:t xml:space="preserve">Limite di un (1) lavoro IAST in esecuzione per ciascuna autorizzazione di scansione simultanea.</w:t>
            </w:r>
          </w:p>
          <w:p w14:paraId="33EC559B" w14:textId="23A0C04D" w:rsidR="00D73CCA" w:rsidRPr="008A22AC" w:rsidRDefault="00D73CCA" w:rsidP="002C0146">
            <w:pPr>
              <w:spacing w:after="100" w:afterAutospacing="1" w:line="240" w:lineRule="auto"/>
              <w:rPr>
                <w:rFonts w:eastAsia="Times New Roman" w:cstheme="minorHAnsi"/>
                <w:color w:val="212529"/>
                <w:sz w:val="18"/>
                <w:szCs w:val="18"/>
                <w:lang w:val="it-IT"/>
              </w:rPr>
            </w:pPr>
            <w:r>
              <w:rPr>
                <w:color w:val="212529"/>
                <w:sz w:val="18"/>
                <w:lang w:val="it-IT"/>
                <w:rFonts/>
              </w:rPr>
              <w:t xml:space="preserve">(Istanza di simultaneità di “1”)</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eastAsia="Times New Roman" w:cstheme="minorHAnsi"/>
                <w:b/>
                <w:bCs/>
                <w:color w:val="212529"/>
                <w:sz w:val="18"/>
                <w:szCs w:val="18"/>
                <w:lang w:val="it-IT"/>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eastAsia="Times New Roman" w:cstheme="minorHAnsi"/>
                <w:color w:val="212529"/>
                <w:sz w:val="18"/>
                <w:szCs w:val="18"/>
                <w:lang w:val="it-IT"/>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eastAsia="Times New Roman" w:cstheme="minorHAnsi"/>
                <w:color w:val="212529"/>
                <w:sz w:val="18"/>
                <w:szCs w:val="18"/>
                <w:lang w:val="it-IT"/>
              </w:rPr>
            </w:pPr>
            <w:r>
              <w:rPr>
                <w:b w:val="true"/>
                <w:color w:val="212529"/>
                <w:sz w:val="18"/>
                <w:lang w:val="it-IT"/>
                <w:rFonts/>
              </w:rPr>
              <w:t xml:space="preserve">AppScan Open Source Analyzer Per Applicazione</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eastAsia="Times New Roman" w:cstheme="minorHAnsi"/>
                <w:color w:val="212529"/>
                <w:sz w:val="18"/>
                <w:szCs w:val="18"/>
                <w:lang w:val="it-IT"/>
              </w:rPr>
            </w:pPr>
            <w:r>
              <w:rPr>
                <w:color w:val="212529"/>
                <w:sz w:val="18"/>
                <w:lang w:val="it-IT"/>
                <w:rFonts/>
              </w:rPr>
              <w:t xml:space="preserve">Tipo di sottoscrizione</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Descrizione</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Sottoscrizione annuale che fornisce la scansione Open Source illimitata di una (1) applicazione (“Istanza applicazione”).</w:t>
            </w:r>
          </w:p>
          <w:p w14:paraId="3039D61F" w14:textId="3D873F27"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Limite di un (1) solo lavoro in esecuzione per volta.</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eastAsia="Times New Roman" w:cstheme="minorHAnsi"/>
                <w:color w:val="212529"/>
                <w:sz w:val="18"/>
                <w:szCs w:val="18"/>
                <w:lang w:val="it-IT"/>
              </w:rPr>
            </w:pPr>
            <w:r>
              <w:rPr>
                <w:b w:val="true"/>
                <w:color w:val="212529"/>
                <w:sz w:val="18"/>
                <w:lang w:val="it-IT"/>
                <w:rFonts/>
              </w:rPr>
              <w:t xml:space="preserve">Opzioni tariffarie senza limiti di AppScan Open Source Analyzer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eastAsia="Times New Roman" w:cstheme="minorHAnsi"/>
                <w:color w:val="212529"/>
                <w:sz w:val="18"/>
                <w:szCs w:val="18"/>
                <w:lang w:val="it-IT"/>
              </w:rPr>
            </w:pPr>
            <w:r>
              <w:rPr>
                <w:color w:val="212529"/>
                <w:sz w:val="18"/>
                <w:lang w:val="it-IT"/>
                <w:rFonts/>
              </w:rPr>
              <w:t xml:space="preserve">Tipo di sottoscrizione</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Descrizione</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Sottoscrizione annuale che fornisce la scansione Open Source di qualsiasi applicazione.</w:t>
            </w:r>
          </w:p>
          <w:p w14:paraId="1A94BFB1" w14:textId="790B22B0"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Limite di un (1) lavoro in esecuzione per ciascuna autorizzazione di scansione simultanea.</w:t>
            </w:r>
          </w:p>
          <w:p w14:paraId="578A9B0D" w14:textId="77777777"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(Istanza di simultaneità di “1”)</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eastAsia="Times New Roman" w:cstheme="minorHAnsi"/>
                <w:color w:val="212529"/>
                <w:sz w:val="18"/>
                <w:szCs w:val="18"/>
                <w:lang w:val="it-IT"/>
              </w:rPr>
            </w:pPr>
            <w:r>
              <w:rPr>
                <w:color w:val="212529"/>
                <w:sz w:val="18"/>
                <w:lang w:val="it-IT"/>
                <w:rFonts/>
              </w:rPr>
              <w:t xml:space="preserve">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Sottoscrizione annuale che fornisce fino a dieci (10) scansione Open Source simultanee di qualsiasi applicazione.</w:t>
            </w:r>
          </w:p>
          <w:p w14:paraId="6984C46A" w14:textId="67ACF428"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Limite fino a dieci (10) lavori in esecuzione per ciascuna autorizzazione “Premium”.</w:t>
            </w:r>
          </w:p>
          <w:p w14:paraId="25700E2C" w14:textId="77777777" w:rsidR="00F375BE" w:rsidRPr="008A22AC" w:rsidRDefault="00F375BE" w:rsidP="00F375BE">
            <w:pPr>
              <w:spacing w:after="100" w:afterAutospacing="1" w:line="240" w:lineRule="auto"/>
              <w:rPr>
                <w:rFonts w:eastAsia="Times New Roman" w:cstheme="minorHAnsi"/>
                <w:color w:val="212529"/>
                <w:sz w:val="18"/>
                <w:szCs w:val="18"/>
                <w:lang w:val="it-IT"/>
              </w:rPr>
            </w:pPr>
            <w:r>
              <w:rPr>
                <w:color w:val="212529"/>
                <w:sz w:val="18"/>
                <w:lang w:val="it-IT"/>
                <w:rFonts/>
              </w:rPr>
              <w:t xml:space="preserve">(Istanza di simultaneità di “10”)</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eastAsia="Times New Roman" w:cstheme="minorHAnsi"/>
                <w:color w:val="212529"/>
                <w:sz w:val="18"/>
                <w:szCs w:val="18"/>
                <w:lang w:val="it-IT"/>
              </w:rPr>
            </w:pPr>
          </w:p>
        </w:tc>
      </w:tr>
    </w:tbl>
    <w:p w14:paraId="2C10F968" w14:textId="77777777" w:rsidR="008A22AC" w:rsidRDefault="008A22AC" w:rsidP="00E20421">
      <w:pPr>
        <w:rPr>
          <w:rFonts w:cstheme="minorHAnsi"/>
          <w:b/>
          <w:sz w:val="28"/>
          <w:lang w:val="it-IT"/>
        </w:rPr>
      </w:pPr>
    </w:p>
    <w:p w14:paraId="3EF8D83D" w14:textId="1C5961FD" w:rsidR="00E20421" w:rsidRPr="008A22AC" w:rsidRDefault="00E20421" w:rsidP="00E20421">
      <w:pPr>
        <w:rPr>
          <w:rFonts w:cstheme="minorHAnsi"/>
          <w:b/>
          <w:sz w:val="28"/>
          <w:lang w:val="it-IT"/>
        </w:rPr>
      </w:pPr>
      <w:r>
        <w:rPr>
          <w:b w:val="true"/>
          <w:sz w:val="28"/>
          <w:lang w:val="it-IT"/>
          <w:rFonts/>
        </w:rPr>
        <w:t xml:space="preserve">3. Addebiti e fatturazione</w:t>
      </w:r>
    </w:p>
    <w:p w14:paraId="6B8C6E47" w14:textId="09A08E03" w:rsidR="00E20421" w:rsidRPr="008A22AC" w:rsidRDefault="00E20421" w:rsidP="00E20421">
      <w:pPr>
        <w:rPr>
          <w:rFonts w:cstheme="minorHAnsi"/>
          <w:lang w:val="it-IT"/>
        </w:rPr>
      </w:pPr>
      <w:r>
        <w:rPr>
          <w:lang w:val="it-IT"/>
          <w:rFonts/>
        </w:rPr>
        <w:t xml:space="preserve">L'importo dovuto per HCL AppScan on Cloud è specificato in un Ordine. </w:t>
      </w:r>
    </w:p>
    <w:p w14:paraId="056F9CFF" w14:textId="77777777" w:rsidR="00E20421" w:rsidRPr="008A22AC" w:rsidRDefault="00E20421" w:rsidP="00E20421">
      <w:pPr>
        <w:rPr>
          <w:rFonts w:cstheme="minorHAnsi"/>
          <w:b/>
          <w:lang w:val="it-IT"/>
        </w:rPr>
      </w:pPr>
      <w:r>
        <w:rPr>
          <w:b w:val="true"/>
          <w:lang w:val="it-IT"/>
          <w:rFonts/>
        </w:rPr>
        <w:t xml:space="preserve">3.1 Addebiti mensili parziali </w:t>
      </w:r>
    </w:p>
    <w:p w14:paraId="25E69836" w14:textId="6F74C21C" w:rsidR="00E20421" w:rsidRPr="008A22AC" w:rsidRDefault="00E20421" w:rsidP="00E20421">
      <w:pPr>
        <w:rPr>
          <w:rFonts w:cstheme="minorHAnsi"/>
          <w:lang w:val="it-IT"/>
        </w:rPr>
      </w:pPr>
      <w:r>
        <w:rPr>
          <w:lang w:val="it-IT"/>
          <w:rFonts/>
        </w:rPr>
        <w:t xml:space="preserve">È possibile valutare un addebito mensile parziale su base proporzionale come specificato nell'Ordine. </w:t>
      </w:r>
    </w:p>
    <w:p w14:paraId="1A6A2497" w14:textId="77777777" w:rsidR="00E20421" w:rsidRPr="008A22AC" w:rsidRDefault="00E20421" w:rsidP="00E20421">
      <w:pPr>
        <w:rPr>
          <w:rFonts w:cstheme="minorHAnsi"/>
          <w:b/>
          <w:lang w:val="it-IT"/>
        </w:rPr>
      </w:pPr>
      <w:r>
        <w:rPr>
          <w:b w:val="true"/>
          <w:lang w:val="it-IT"/>
          <w:rFonts/>
        </w:rPr>
        <w:t xml:space="preserve">3.2 Frequenza di fatturazione </w:t>
      </w:r>
    </w:p>
    <w:p w14:paraId="750A6794" w14:textId="0BF43F50" w:rsidR="00E20421" w:rsidRPr="008A22AC" w:rsidRDefault="79E6FFBD" w:rsidP="79E6FFBD">
      <w:r>
        <w:rPr>
          <w:lang w:val="it-IT"/>
          <w:rFonts/>
        </w:rPr>
        <w:t xml:space="preserve">Sulla base della frequenza di fatturazione selezionata, HCL fatturerà al Cliente gli addebiti dovuti all'inizio del periodo della frequenza di fatturazione, ad eccezione degli addebiti di tipo eccedenza e utilizzo, che verranno fatturati posticipatamente. </w:t>
      </w:r>
    </w:p>
    <w:p w14:paraId="2B3497D8" w14:textId="77777777" w:rsidR="00E20421" w:rsidRPr="008A22AC" w:rsidRDefault="00E20421" w:rsidP="00E20421">
      <w:pPr>
        <w:rPr>
          <w:rFonts w:cstheme="minorHAnsi"/>
          <w:b/>
          <w:lang w:val="it-IT"/>
        </w:rPr>
      </w:pPr>
      <w:r>
        <w:rPr>
          <w:b w:val="true"/>
          <w:lang w:val="it-IT"/>
          <w:rFonts/>
        </w:rPr>
        <w:t xml:space="preserve">3.3 Sedi beneficiarie derivate </w:t>
      </w:r>
    </w:p>
    <w:p w14:paraId="1BB215B5" w14:textId="11C6187F" w:rsidR="00E20421" w:rsidRPr="008A22AC" w:rsidRDefault="00E20421" w:rsidP="00E20421">
      <w:pPr>
        <w:rPr>
          <w:rFonts w:cstheme="minorHAnsi"/>
          <w:lang w:val="it-IT"/>
        </w:rPr>
      </w:pPr>
      <w:r>
        <w:rPr>
          <w:lang w:val="it-IT"/>
          <w:rFonts/>
        </w:rPr>
        <w:t xml:space="preserve">Laddove applicabile, le imposte si basano sulle località che il Cliente identifica come beneficiarie del Servizio cloud. HCL applicherà le imposte sulla base dell'indirizzo commerciale indicato come sede beneficiaria principale al momento dell'ordine del Servizio cloud, salvo che il Cliente non fornisca a HCL ulteriori informazioni. Il Cliente è responsabile di mantenere aggiornate tali informazioni e di comunicare eventuali modifiche a HCL. </w:t>
      </w:r>
    </w:p>
    <w:p w14:paraId="19F78B3C" w14:textId="77777777" w:rsidR="00E20421" w:rsidRPr="008A22AC" w:rsidRDefault="00E20421" w:rsidP="00E20421">
      <w:pPr>
        <w:rPr>
          <w:rFonts w:cstheme="minorHAnsi"/>
          <w:b/>
          <w:lang w:val="it-IT"/>
        </w:rPr>
      </w:pPr>
      <w:r>
        <w:rPr>
          <w:b w:val="true"/>
          <w:lang w:val="it-IT"/>
          <w:rFonts/>
        </w:rPr>
        <w:t xml:space="preserve">3.4 Verifica </w:t>
      </w:r>
    </w:p>
    <w:p w14:paraId="48A54567" w14:textId="6700791C" w:rsidR="00E20421" w:rsidRPr="008A22AC" w:rsidRDefault="00A63664" w:rsidP="00E20421">
      <w:pPr>
        <w:rPr>
          <w:rFonts w:cstheme="minorHAnsi"/>
          <w:lang w:val="it-IT"/>
        </w:rPr>
      </w:pPr>
      <w:r>
        <w:rPr>
          <w:lang w:val="it-IT"/>
          <w:rFonts/>
        </w:rPr>
        <w:t xml:space="preserve">Il Cliente i) manterrà e fornirà su richiesta record e output degli strumenti di sistema, secondo quanto ragionevolmente necessario, per consentire a HCL e al revisore indipendente di verificare la conformità del Cliente all'Accordo, e ii) ordinerà e salderà tempestivamente le autorizzazioni richieste alle tariffe correnti di HCL e gli altri addebiti e oneri determinati a seguito di tale verifica, come indicato da HCL in fattura. Tali obblighi di verifica della conformità restano in vigore per la durata del Servizio cloud e per i due anni successivi.</w:t>
      </w:r>
    </w:p>
    <w:p w14:paraId="07645AA3" w14:textId="77777777" w:rsidR="00E20421" w:rsidRPr="008A22AC" w:rsidRDefault="00E20421" w:rsidP="00E20421">
      <w:pPr>
        <w:rPr>
          <w:rFonts w:cstheme="minorHAnsi"/>
          <w:b/>
          <w:sz w:val="28"/>
          <w:lang w:val="it-IT"/>
        </w:rPr>
      </w:pPr>
      <w:r>
        <w:rPr>
          <w:b w:val="true"/>
          <w:sz w:val="28"/>
          <w:lang w:val="it-IT"/>
          <w:rFonts/>
        </w:rPr>
        <w:t xml:space="preserve">4. Periodo di validità e opzioni di rinnovo </w:t>
      </w:r>
    </w:p>
    <w:p w14:paraId="2FF5C701" w14:textId="6F94B2F7" w:rsidR="00E20421" w:rsidRPr="008A22AC" w:rsidRDefault="00E20421" w:rsidP="00E20421">
      <w:pPr>
        <w:rPr>
          <w:rFonts w:cstheme="minorHAnsi"/>
          <w:lang w:val="it-IT"/>
        </w:rPr>
      </w:pPr>
      <w:r>
        <w:rPr>
          <w:lang w:val="it-IT"/>
          <w:rFonts/>
        </w:rPr>
        <w:t xml:space="preserve">Il periodo di validità del Servizio cloud inizia alla data in cui HCL notifica al Cliente l'accesso al Servizio cloud, come documentato nell'Autorizzazione. L'Autorizzazione specifica se il Servizio cloud si rinnova automaticamente o cessa al termine del periodo di validità. </w:t>
      </w:r>
    </w:p>
    <w:p w14:paraId="02E03627" w14:textId="6C89211B" w:rsidR="00E20421" w:rsidRPr="008A22AC" w:rsidRDefault="79E6FFBD" w:rsidP="79E6FFBD">
      <w:r>
        <w:rPr>
          <w:lang w:val="it-IT"/>
          <w:rFonts/>
        </w:rPr>
        <w:t xml:space="preserve">Per il rinnovo automatico, salvo che il Cliente non comunichi per iscritto, almeno 30 giorni prima della data di scadenza del periodo di validità, di non voler procedere al rinnovo, il Servizio cloud si rinnoverà automaticamente per il periodo di validità specificato nell'Autorizzazione. </w:t>
      </w:r>
    </w:p>
    <w:p w14:paraId="43F6C16E" w14:textId="77777777" w:rsidR="00E20421" w:rsidRPr="008A22AC" w:rsidRDefault="00E20421" w:rsidP="00E20421">
      <w:pPr>
        <w:rPr>
          <w:rFonts w:cstheme="minorHAnsi"/>
          <w:b/>
          <w:sz w:val="28"/>
          <w:lang w:val="it-IT"/>
        </w:rPr>
      </w:pPr>
      <w:r>
        <w:rPr>
          <w:b w:val="true"/>
          <w:sz w:val="28"/>
          <w:lang w:val="it-IT"/>
          <w:rFonts/>
        </w:rPr>
        <w:t xml:space="preserve">5. Supporto tecnico</w:t>
      </w:r>
    </w:p>
    <w:p w14:paraId="6C6761B7" w14:textId="66520BAD" w:rsidR="00F375BE" w:rsidRPr="008A22AC" w:rsidRDefault="00E20421" w:rsidP="00E20421">
      <w:pPr>
        <w:rPr>
          <w:rFonts w:cstheme="minorHAnsi"/>
          <w:lang w:val="it-IT"/>
        </w:rPr>
      </w:pPr>
      <w:r>
        <w:rPr>
          <w:lang w:val="it-IT"/>
          <w:rFonts/>
        </w:rPr>
        <w:t xml:space="preserve">Durante il Periodo di sottoscrizione e dopo che HCL ha notificato al Cliente che l'accesso al Servizio Cloud è disponibile, le informazioni del supporto tecnico sono disponibili sulla versione più recente del sito Web HCL messo a disposizione del Cliente da HCL o come stabilito nell'Accordo.</w:t>
      </w:r>
    </w:p>
    <w:tbl>
      <w:tblPr>
        <w:tblStyle w:val="TableGrid"/>
        <w:tblW w:w="0" w:type="auto"/>
        <w:tblLook w:val="04A0" w:firstRow="1" w:lastRow="0" w:firstColumn="1" w:lastColumn="0" w:noHBand="0" w:noVBand="1"/>
      </w:tblPr>
      <w:tblGrid>
        <w:gridCol w:w="959"/>
        <w:gridCol w:w="4468"/>
        <w:gridCol w:w="2682"/>
        <w:gridCol w:w="2681"/>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lang w:val="it-IT"/>
              </w:rPr>
            </w:pPr>
            <w:r>
              <w:rPr>
                <w:b w:val="true"/>
                <w:lang w:val="it-IT"/>
                <w:rFonts/>
              </w:rPr>
              <w:t xml:space="preserve">Gravità</w:t>
            </w:r>
          </w:p>
          <w:p w14:paraId="440BB9E9" w14:textId="77777777" w:rsidR="00CD09E8" w:rsidRPr="008A22AC" w:rsidRDefault="00CD09E8" w:rsidP="00431986">
            <w:pPr>
              <w:rPr>
                <w:rFonts w:cstheme="minorHAnsi"/>
                <w:b/>
                <w:lang w:val="it-IT"/>
              </w:rPr>
            </w:pPr>
          </w:p>
        </w:tc>
        <w:tc>
          <w:tcPr>
            <w:tcW w:w="4499" w:type="dxa"/>
          </w:tcPr>
          <w:p w14:paraId="10E7F31E" w14:textId="77777777" w:rsidR="00431986" w:rsidRPr="008A22AC" w:rsidRDefault="00431986" w:rsidP="00431986">
            <w:pPr>
              <w:rPr>
                <w:rFonts w:cstheme="minorHAnsi"/>
                <w:b/>
                <w:lang w:val="it-IT"/>
              </w:rPr>
            </w:pPr>
            <w:r>
              <w:rPr>
                <w:b w:val="true"/>
                <w:lang w:val="it-IT"/>
                <w:rFonts/>
              </w:rPr>
              <w:t xml:space="preserve">Definizione della gravità</w:t>
            </w:r>
          </w:p>
          <w:p w14:paraId="2D6686B6" w14:textId="77777777" w:rsidR="00CD09E8" w:rsidRPr="008A22AC" w:rsidRDefault="00CD09E8" w:rsidP="00CD09E8">
            <w:pPr>
              <w:rPr>
                <w:rFonts w:cstheme="minorHAnsi"/>
                <w:b/>
                <w:lang w:val="it-IT"/>
              </w:rPr>
            </w:pPr>
          </w:p>
        </w:tc>
        <w:tc>
          <w:tcPr>
            <w:tcW w:w="2698" w:type="dxa"/>
          </w:tcPr>
          <w:p w14:paraId="514AD287" w14:textId="77777777" w:rsidR="00431986" w:rsidRPr="008A22AC" w:rsidRDefault="00431986" w:rsidP="00431986">
            <w:pPr>
              <w:rPr>
                <w:rFonts w:cstheme="minorHAnsi"/>
                <w:b/>
                <w:lang w:val="it-IT"/>
              </w:rPr>
            </w:pPr>
            <w:r>
              <w:rPr>
                <w:b w:val="true"/>
                <w:lang w:val="it-IT"/>
                <w:rFonts/>
              </w:rPr>
              <w:t xml:space="preserve">Obiettivi del tempo di risposta</w:t>
            </w:r>
          </w:p>
          <w:p w14:paraId="3E7B59CA" w14:textId="77777777" w:rsidR="00CD09E8" w:rsidRPr="008A22AC" w:rsidRDefault="00CD09E8" w:rsidP="00CD09E8">
            <w:pPr>
              <w:rPr>
                <w:rFonts w:cstheme="minorHAnsi"/>
                <w:b/>
                <w:lang w:val="it-IT"/>
              </w:rPr>
            </w:pPr>
          </w:p>
        </w:tc>
        <w:tc>
          <w:tcPr>
            <w:tcW w:w="2698" w:type="dxa"/>
          </w:tcPr>
          <w:p w14:paraId="1D305E92" w14:textId="77777777" w:rsidR="00CD09E8" w:rsidRPr="008A22AC" w:rsidRDefault="00431986" w:rsidP="00CD09E8">
            <w:pPr>
              <w:rPr>
                <w:rFonts w:cstheme="minorHAnsi"/>
                <w:b/>
                <w:lang w:val="it-IT"/>
              </w:rPr>
            </w:pPr>
            <w:r>
              <w:rPr>
                <w:b w:val="true"/>
                <w:lang w:val="it-IT"/>
                <w:rFonts/>
              </w:rPr>
              <w:t xml:space="preserve">Copertura del tempi di risposta</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lang w:val="it-IT"/>
              </w:rPr>
            </w:pPr>
            <w:r>
              <w:rPr>
                <w:lang w:val="it-IT"/>
                <w:rFonts/>
              </w:rPr>
              <w:t xml:space="preserve">1</w:t>
            </w:r>
          </w:p>
        </w:tc>
        <w:tc>
          <w:tcPr>
            <w:tcW w:w="4499" w:type="dxa"/>
          </w:tcPr>
          <w:p w14:paraId="00C07E1E" w14:textId="77777777" w:rsidR="00CD09E8" w:rsidRPr="008A22AC" w:rsidRDefault="00431986" w:rsidP="00CD09E8">
            <w:pPr>
              <w:rPr>
                <w:rFonts w:cstheme="minorHAnsi"/>
                <w:lang w:val="it-IT"/>
              </w:rPr>
            </w:pPr>
            <w:r>
              <w:rPr>
                <w:lang w:val="it-IT"/>
                <w:rFonts/>
              </w:rPr>
              <w:t xml:space="preserve">Impatto aziendale critico/servizio non attivo: Una funzionalità aziendale critica non è operativa o si è verificato un errore in un'interfaccia critica. Generalmente si applica a un ambiente di produzione e indica un'incapacità di accedere ai servizi, con conseguente impatto critico sulle operazioni. Questa condizione richiede una soluzione immediata.</w:t>
            </w:r>
          </w:p>
        </w:tc>
        <w:tc>
          <w:tcPr>
            <w:tcW w:w="2698" w:type="dxa"/>
          </w:tcPr>
          <w:p w14:paraId="73B2FE97" w14:textId="77777777" w:rsidR="00CD09E8" w:rsidRPr="008A22AC" w:rsidRDefault="00431986" w:rsidP="00CD09E8">
            <w:pPr>
              <w:rPr>
                <w:rFonts w:cstheme="minorHAnsi"/>
                <w:lang w:val="it-IT"/>
              </w:rPr>
            </w:pPr>
            <w:r>
              <w:rPr>
                <w:lang w:val="it-IT"/>
                <w:rFonts/>
              </w:rPr>
              <w:t xml:space="preserve">Entro 1 ora</w:t>
            </w:r>
          </w:p>
        </w:tc>
        <w:tc>
          <w:tcPr>
            <w:tcW w:w="2698" w:type="dxa"/>
          </w:tcPr>
          <w:p w14:paraId="34DDE1D1" w14:textId="77777777" w:rsidR="00CD09E8" w:rsidRPr="008A22AC" w:rsidRDefault="00431986" w:rsidP="00CD09E8">
            <w:pPr>
              <w:rPr>
                <w:rFonts w:cstheme="minorHAnsi"/>
                <w:lang w:val="it-IT"/>
              </w:rPr>
            </w:pPr>
            <w:r>
              <w:rPr>
                <w:lang w:val="it-IT"/>
                <w:rFonts/>
              </w:rPr>
              <w:t xml:space="preserve">24/7</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lang w:val="it-IT"/>
              </w:rPr>
            </w:pPr>
            <w:r>
              <w:rPr>
                <w:lang w:val="it-IT"/>
                <w:rFonts/>
              </w:rPr>
              <w:t xml:space="preserve">2</w:t>
            </w:r>
          </w:p>
        </w:tc>
        <w:tc>
          <w:tcPr>
            <w:tcW w:w="4499" w:type="dxa"/>
          </w:tcPr>
          <w:p w14:paraId="3E27A5C1" w14:textId="305EE8B8" w:rsidR="00CD09E8" w:rsidRPr="008A22AC" w:rsidRDefault="00431986" w:rsidP="00CD09E8">
            <w:pPr>
              <w:rPr>
                <w:rFonts w:cstheme="minorHAnsi"/>
                <w:lang w:val="it-IT"/>
              </w:rPr>
            </w:pPr>
            <w:r>
              <w:rPr>
                <w:lang w:val="it-IT"/>
                <w:rFonts/>
              </w:rPr>
              <w:t xml:space="preserve">Impatto significativo sull'azienda: Una funzionalità o funzione aziendale del servizio è fortemente limitata nel suo utilizzo o il Cliente rischia di non riuscire a rispettare le scadenze aziendali.</w:t>
            </w:r>
          </w:p>
        </w:tc>
        <w:tc>
          <w:tcPr>
            <w:tcW w:w="2698" w:type="dxa"/>
          </w:tcPr>
          <w:p w14:paraId="120EA68C" w14:textId="77777777" w:rsidR="00CD09E8" w:rsidRPr="008A22AC" w:rsidRDefault="00431986" w:rsidP="00CD09E8">
            <w:pPr>
              <w:rPr>
                <w:rFonts w:cstheme="minorHAnsi"/>
                <w:lang w:val="it-IT"/>
              </w:rPr>
            </w:pPr>
            <w:r>
              <w:rPr>
                <w:lang w:val="it-IT"/>
                <w:rFonts/>
              </w:rPr>
              <w:t xml:space="preserve">Entro 2 ore (in orario d'ufficio)</w:t>
            </w:r>
          </w:p>
        </w:tc>
        <w:tc>
          <w:tcPr>
            <w:tcW w:w="2698" w:type="dxa"/>
          </w:tcPr>
          <w:p w14:paraId="5717FCA2" w14:textId="77777777" w:rsidR="00CD09E8" w:rsidRPr="008A22AC" w:rsidRDefault="00431986" w:rsidP="00CD09E8">
            <w:pPr>
              <w:rPr>
                <w:rFonts w:cstheme="minorHAnsi"/>
                <w:lang w:val="it-IT"/>
              </w:rPr>
            </w:pPr>
            <w:r>
              <w:rPr>
                <w:lang w:val="it-IT"/>
                <w:rFonts/>
              </w:rPr>
              <w:t xml:space="preserve">Orario lavorativo Lun-Ven</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lang w:val="it-IT"/>
              </w:rPr>
            </w:pPr>
            <w:r>
              <w:rPr>
                <w:lang w:val="it-IT"/>
                <w:rFonts/>
              </w:rPr>
              <w:t xml:space="preserve">3</w:t>
            </w:r>
          </w:p>
        </w:tc>
        <w:tc>
          <w:tcPr>
            <w:tcW w:w="4499" w:type="dxa"/>
          </w:tcPr>
          <w:p w14:paraId="56DB9A17" w14:textId="77777777" w:rsidR="00CD09E8" w:rsidRPr="008A22AC" w:rsidRDefault="00431986" w:rsidP="00CD09E8">
            <w:pPr>
              <w:rPr>
                <w:rFonts w:cstheme="minorHAnsi"/>
                <w:lang w:val="it-IT"/>
              </w:rPr>
            </w:pPr>
            <w:r>
              <w:rPr>
                <w:lang w:val="it-IT"/>
                <w:rFonts/>
              </w:rPr>
              <w:t xml:space="preserve">Impatto aziendale secondario: Indica che il servizio o la funzionalità sono utilizzabili e non rappresenta un impatto critico sulle operazioni.</w:t>
            </w:r>
          </w:p>
        </w:tc>
        <w:tc>
          <w:tcPr>
            <w:tcW w:w="2698" w:type="dxa"/>
          </w:tcPr>
          <w:p w14:paraId="41B34863" w14:textId="77777777" w:rsidR="00CD09E8" w:rsidRPr="008A22AC" w:rsidRDefault="00431986" w:rsidP="00CD09E8">
            <w:pPr>
              <w:rPr>
                <w:rFonts w:cstheme="minorHAnsi"/>
                <w:lang w:val="it-IT"/>
              </w:rPr>
            </w:pPr>
            <w:r>
              <w:rPr>
                <w:lang w:val="it-IT"/>
                <w:rFonts/>
              </w:rPr>
              <w:t xml:space="preserve">Entro 4 ore (in orario d'ufficio)</w:t>
            </w:r>
          </w:p>
        </w:tc>
        <w:tc>
          <w:tcPr>
            <w:tcW w:w="2698" w:type="dxa"/>
          </w:tcPr>
          <w:p w14:paraId="15ECC440" w14:textId="77777777" w:rsidR="00CD09E8" w:rsidRPr="008A22AC" w:rsidRDefault="00431986" w:rsidP="00CD09E8">
            <w:pPr>
              <w:rPr>
                <w:rFonts w:cstheme="minorHAnsi"/>
                <w:lang w:val="it-IT"/>
              </w:rPr>
            </w:pPr>
            <w:r>
              <w:rPr>
                <w:lang w:val="it-IT"/>
                <w:rFonts/>
              </w:rPr>
              <w:t xml:space="preserve">Orario lavorativo Lun-Ven</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lang w:val="it-IT"/>
              </w:rPr>
            </w:pPr>
            <w:r>
              <w:rPr>
                <w:lang w:val="it-IT"/>
                <w:rFonts/>
              </w:rPr>
              <w:t xml:space="preserve">4</w:t>
            </w:r>
          </w:p>
        </w:tc>
        <w:tc>
          <w:tcPr>
            <w:tcW w:w="4499" w:type="dxa"/>
          </w:tcPr>
          <w:p w14:paraId="76629DB3" w14:textId="77777777" w:rsidR="00CD09E8" w:rsidRPr="008A22AC" w:rsidRDefault="00431986" w:rsidP="00CD09E8">
            <w:pPr>
              <w:rPr>
                <w:rFonts w:cstheme="minorHAnsi"/>
                <w:lang w:val="it-IT"/>
              </w:rPr>
            </w:pPr>
            <w:r>
              <w:rPr>
                <w:lang w:val="it-IT"/>
                <w:rFonts/>
              </w:rPr>
              <w:t xml:space="preserve">Impatto aziendale minimo: Un quesito o una richiesta non tecnica.</w:t>
            </w:r>
          </w:p>
        </w:tc>
        <w:tc>
          <w:tcPr>
            <w:tcW w:w="2698" w:type="dxa"/>
          </w:tcPr>
          <w:p w14:paraId="4048CC93" w14:textId="77777777" w:rsidR="00CD09E8" w:rsidRPr="008A22AC" w:rsidRDefault="00431986" w:rsidP="00CD09E8">
            <w:pPr>
              <w:rPr>
                <w:rFonts w:cstheme="minorHAnsi"/>
                <w:lang w:val="it-IT"/>
              </w:rPr>
            </w:pPr>
            <w:r>
              <w:rPr>
                <w:lang w:val="it-IT"/>
                <w:rFonts/>
              </w:rPr>
              <w:t xml:space="preserve">Entro 1 giorno lavorativo</w:t>
            </w:r>
          </w:p>
        </w:tc>
        <w:tc>
          <w:tcPr>
            <w:tcW w:w="2698" w:type="dxa"/>
          </w:tcPr>
          <w:p w14:paraId="43DCE736" w14:textId="77777777" w:rsidR="00CD09E8" w:rsidRPr="008A22AC" w:rsidRDefault="00431986" w:rsidP="00CD09E8">
            <w:pPr>
              <w:rPr>
                <w:rFonts w:cstheme="minorHAnsi"/>
                <w:lang w:val="it-IT"/>
              </w:rPr>
            </w:pPr>
            <w:r>
              <w:rPr>
                <w:lang w:val="it-IT"/>
                <w:rFonts/>
              </w:rPr>
              <w:t xml:space="preserve">Orario lavorativo Lun-Ven</w:t>
            </w:r>
          </w:p>
        </w:tc>
      </w:tr>
    </w:tbl>
    <w:p w14:paraId="47B28CB3" w14:textId="77777777" w:rsidR="00CC771B" w:rsidRPr="008A22AC" w:rsidRDefault="00CC771B" w:rsidP="00CD09E8">
      <w:pPr>
        <w:rPr>
          <w:rFonts w:cstheme="minorHAnsi"/>
          <w:b/>
          <w:lang w:val="it-IT"/>
        </w:rPr>
      </w:pPr>
    </w:p>
    <w:p w14:paraId="27CC8233" w14:textId="4412A852" w:rsidR="00CD09E8" w:rsidRPr="008A22AC" w:rsidRDefault="00CD09E8" w:rsidP="00CD09E8">
      <w:pPr>
        <w:rPr>
          <w:rFonts w:cstheme="minorHAnsi"/>
          <w:b/>
          <w:lang w:val="it-IT"/>
        </w:rPr>
      </w:pPr>
      <w:r>
        <w:rPr>
          <w:b w:val="true"/>
          <w:lang w:val="it-IT"/>
          <w:rFonts/>
        </w:rPr>
        <w:t xml:space="preserve">5.1 Accesso ai Dati del cliente </w:t>
      </w:r>
    </w:p>
    <w:p w14:paraId="6BABA9D4" w14:textId="3E185D51" w:rsidR="00CD09E8" w:rsidRPr="008A22AC" w:rsidRDefault="00CD09E8" w:rsidP="00CD09E8">
      <w:pPr>
        <w:rPr>
          <w:rFonts w:cstheme="minorHAnsi"/>
          <w:lang w:val="it-IT"/>
        </w:rPr>
      </w:pPr>
      <w:r>
        <w:rPr>
          <w:lang w:val="it-IT"/>
          <w:rFonts/>
        </w:rPr>
        <w:t xml:space="preserve">HCL potrà accedere ai Dati del cliente allo scopo di diagnosticare problemi con il servizio e facilitare le scansioni dell'applicazione del Cliente da parte del servizio. HCL avrà accesso ai dati esclusivamente allo scopo di correggere difetti o fornire supporto per i prodotti o i servizi HCL.</w:t>
      </w:r>
    </w:p>
    <w:p w14:paraId="339F18E9" w14:textId="77777777" w:rsidR="00CD09E8" w:rsidRPr="008A22AC" w:rsidRDefault="00CD09E8" w:rsidP="00CD09E8">
      <w:pPr>
        <w:rPr>
          <w:rFonts w:cstheme="minorHAnsi"/>
          <w:b/>
          <w:sz w:val="28"/>
          <w:lang w:val="it-IT"/>
        </w:rPr>
      </w:pPr>
      <w:r>
        <w:rPr>
          <w:b w:val="true"/>
          <w:sz w:val="28"/>
          <w:lang w:val="it-IT"/>
          <w:rFonts/>
        </w:rPr>
        <w:t xml:space="preserve">6. SLA (Service Level Agreement) </w:t>
      </w:r>
    </w:p>
    <w:p w14:paraId="798B75E3" w14:textId="68547F0F" w:rsidR="00CD09E8" w:rsidRPr="008A22AC" w:rsidRDefault="00CD09E8" w:rsidP="00CD09E8">
      <w:pPr>
        <w:rPr>
          <w:rFonts w:cstheme="minorHAnsi"/>
          <w:lang w:val="it-IT"/>
        </w:rPr>
      </w:pPr>
      <w:r>
        <w:rPr>
          <w:lang w:val="it-IT"/>
          <w:rFonts/>
        </w:rPr>
        <w:t xml:space="preserve">HCL fornisce il seguente accordo di disponibilità sul livello di servizio ("SLA") per il Servizio cloud. Lo SLA non è una garanzia ed è l'unico ed esclusivo rimedio per il Cliente. Lo SLA è disponibile solo per il Cliente e si applica solo per l'uso in ambienti di produzione. </w:t>
      </w:r>
    </w:p>
    <w:p w14:paraId="76367E19" w14:textId="77777777" w:rsidR="00CD09E8" w:rsidRPr="008A22AC" w:rsidRDefault="00CD09E8" w:rsidP="00CD09E8">
      <w:pPr>
        <w:rPr>
          <w:rFonts w:cstheme="minorHAnsi"/>
          <w:b/>
          <w:lang w:val="it-IT"/>
        </w:rPr>
      </w:pPr>
      <w:r>
        <w:rPr>
          <w:b w:val="true"/>
          <w:lang w:val="it-IT"/>
          <w:rFonts/>
        </w:rPr>
        <w:t xml:space="preserve">6.1 Crediti di disponibilità </w:t>
      </w:r>
    </w:p>
    <w:p w14:paraId="23907002" w14:textId="33669F74" w:rsidR="00CD09E8" w:rsidRPr="008A22AC" w:rsidRDefault="00A63664" w:rsidP="00CD09E8">
      <w:pPr>
        <w:rPr>
          <w:rFonts w:cstheme="minorHAnsi"/>
          <w:lang w:val="it-IT"/>
        </w:rPr>
      </w:pPr>
      <w:r>
        <w:rPr>
          <w:lang w:val="it-IT"/>
          <w:rFonts/>
        </w:rPr>
        <w:t xml:space="preserve">Il Cliente deve registrare un ticket di supporto di Gravità 1 presso l'help desk del supporto tecnico HCL entro 24 ore dal primo rilevamento dell'esistenza di un impatto aziendale critico e di un'interruzione nella disponibilità del Servizio cloud. Il Cliente deve ragionevolmente aiutare l'HCL nella diagnosi e nella risoluzione del problema. </w:t>
      </w:r>
    </w:p>
    <w:p w14:paraId="7725B7FE" w14:textId="4D9D50BA" w:rsidR="00CD09E8" w:rsidRPr="008A22AC" w:rsidRDefault="00CD09E8" w:rsidP="00CD09E8">
      <w:pPr>
        <w:rPr>
          <w:rFonts w:cstheme="minorHAnsi"/>
          <w:lang w:val="it-IT"/>
        </w:rPr>
      </w:pPr>
      <w:r>
        <w:rPr>
          <w:lang w:val="it-IT"/>
          <w:rFonts/>
        </w:rPr>
        <w:t xml:space="preserve">Un ticket di supporto per reclamo relativo al mancato rispetto di uno SLA deve essere inviato entro 3 giorni lavorativi dopo la fine del mese di contratto. Il risarcimento per un reclamo SLA valido sarà riconosciuto in forma di credito a fronte di una fattura futura per il Servizio cloud, in base alla durata dell'indisponibilità del Servizio cloud nel sistema di produzione ("Tempo di inattività"). Il Tempo di inattività viene misurato dal momento in cui il Cliente segnala l'evento fino al momento in cui il Servizio cloud viene ripristinato e non include i tempi relativi a un'interruzione per manutenzione programmata o annunciata; cause che esulano dal controllo di HCL; problemi relativi a progettazione, istruzioni, contenuti o tecnologia del Cliente o di terzi; piattaforme e configurazioni di sistema non supportate o altri errori del Cliente; o incidente di sicurezza causato dal cliente o test di sicurezza del Cliente. HCL fisserà il massimo risarcimento applicabile in base alla disponibilità cumulativa del Servizio cloud durante ciascun mese di contratto, come illustrato nella tabella seguente. Il risarcimento totale per quanto riguarda qualsiasi mese di contratto non può superare il 10 percento di un dodicesimo (1/12) del canone annuale per il Servizio cloud. </w:t>
      </w:r>
    </w:p>
    <w:p w14:paraId="7D107F1C" w14:textId="77777777" w:rsidR="00CD09E8" w:rsidRPr="008A22AC" w:rsidRDefault="00CD09E8" w:rsidP="00CD09E8">
      <w:pPr>
        <w:rPr>
          <w:rFonts w:cstheme="minorHAnsi"/>
          <w:b/>
          <w:lang w:val="it-IT"/>
        </w:rPr>
      </w:pPr>
      <w:r>
        <w:rPr>
          <w:b w:val="true"/>
          <w:lang w:val="it-IT"/>
          <w:rFonts/>
        </w:rPr>
        <w:t xml:space="preserve">6.2 Livelli di servizio </w:t>
      </w:r>
    </w:p>
    <w:p w14:paraId="7CE94E7A" w14:textId="77777777" w:rsidR="00CD09E8" w:rsidRPr="008A22AC" w:rsidRDefault="00CD09E8" w:rsidP="00CD09E8">
      <w:pPr>
        <w:rPr>
          <w:rFonts w:cstheme="minorHAnsi"/>
          <w:lang w:val="it-IT"/>
        </w:rPr>
      </w:pPr>
      <w:r>
        <w:rPr>
          <w:lang w:val="it-IT"/>
          <w:rFonts/>
        </w:rPr>
        <w:t xml:space="preserve">Disponibilità del Servizio cloud durante un mese di contratto</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lang w:val="it-IT"/>
              </w:rPr>
            </w:pPr>
            <w:r>
              <w:rPr>
                <w:b w:val="true"/>
                <w:lang w:val="it-IT"/>
                <w:rFonts/>
              </w:rPr>
              <w:t xml:space="preserve">Disponibilità durante un mese di contratto </w:t>
            </w:r>
          </w:p>
        </w:tc>
        <w:tc>
          <w:tcPr>
            <w:tcW w:w="5400" w:type="dxa"/>
          </w:tcPr>
          <w:p w14:paraId="1E654741" w14:textId="77777777" w:rsidR="00884E80" w:rsidRPr="008A22AC" w:rsidRDefault="004B0BF0" w:rsidP="00884E80">
            <w:pPr>
              <w:rPr>
                <w:rFonts w:cstheme="minorHAnsi"/>
                <w:b/>
                <w:lang w:val="it-IT"/>
              </w:rPr>
            </w:pPr>
            <w:r>
              <w:rPr>
                <w:b w:val="true"/>
                <w:lang w:val="it-IT"/>
                <w:rFonts/>
              </w:rPr>
              <w:t xml:space="preserve">Risarcimento (% della quota di sottoscrizione mensile* per il mese di contratto oggetto di un reclamo)</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lang w:val="it-IT"/>
              </w:rPr>
            </w:pPr>
            <w:r>
              <w:rPr>
                <w:lang w:val="it-IT"/>
                <w:rFonts/>
              </w:rPr>
              <w:t xml:space="preserve">Meno del 99,9%</w:t>
            </w:r>
          </w:p>
        </w:tc>
        <w:tc>
          <w:tcPr>
            <w:tcW w:w="5400" w:type="dxa"/>
          </w:tcPr>
          <w:p w14:paraId="487F9B0F" w14:textId="77777777" w:rsidR="00884E80" w:rsidRPr="008A22AC" w:rsidRDefault="00884E80" w:rsidP="00884E80">
            <w:pPr>
              <w:rPr>
                <w:rFonts w:cstheme="minorHAnsi"/>
                <w:lang w:val="it-IT"/>
              </w:rPr>
            </w:pPr>
            <w:r>
              <w:rPr>
                <w:lang w:val="it-IT"/>
                <w:rFonts/>
              </w:rPr>
              <w:t xml:space="preserve">2%</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lang w:val="it-IT"/>
              </w:rPr>
            </w:pPr>
            <w:r>
              <w:rPr>
                <w:lang w:val="it-IT"/>
                <w:rFonts/>
              </w:rPr>
              <w:t xml:space="preserve">Meno del 99%</w:t>
            </w:r>
          </w:p>
        </w:tc>
        <w:tc>
          <w:tcPr>
            <w:tcW w:w="5400" w:type="dxa"/>
          </w:tcPr>
          <w:p w14:paraId="2FF44D7A" w14:textId="77777777" w:rsidR="00884E80" w:rsidRPr="008A22AC" w:rsidRDefault="00884E80" w:rsidP="00CD09E8">
            <w:pPr>
              <w:rPr>
                <w:rFonts w:cstheme="minorHAnsi"/>
                <w:lang w:val="it-IT"/>
              </w:rPr>
            </w:pPr>
            <w:r>
              <w:rPr>
                <w:lang w:val="it-IT"/>
                <w:rFonts/>
              </w:rPr>
              <w:t xml:space="preserve">5</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lang w:val="it-IT"/>
              </w:rPr>
            </w:pPr>
            <w:r>
              <w:rPr>
                <w:lang w:val="it-IT"/>
                <w:rFonts/>
              </w:rPr>
              <w:t xml:space="preserve">Meno del 95%</w:t>
            </w:r>
          </w:p>
        </w:tc>
        <w:tc>
          <w:tcPr>
            <w:tcW w:w="5400" w:type="dxa"/>
          </w:tcPr>
          <w:p w14:paraId="3FA9A069" w14:textId="77777777" w:rsidR="00884E80" w:rsidRPr="008A22AC" w:rsidRDefault="00884E80" w:rsidP="00CD09E8">
            <w:pPr>
              <w:rPr>
                <w:rFonts w:cstheme="minorHAnsi"/>
                <w:lang w:val="it-IT"/>
              </w:rPr>
            </w:pPr>
            <w:r>
              <w:rPr>
                <w:lang w:val="it-IT"/>
                <w:rFonts/>
              </w:rPr>
              <w:t xml:space="preserve">10%</w:t>
            </w:r>
          </w:p>
        </w:tc>
      </w:tr>
    </w:tbl>
    <w:p w14:paraId="489A0662" w14:textId="071C8965" w:rsidR="00CD09E8" w:rsidRDefault="00CD09E8" w:rsidP="00CD09E8">
      <w:pPr>
        <w:rPr>
          <w:rFonts w:cstheme="minorHAnsi"/>
          <w:sz w:val="16"/>
          <w:lang w:val="it-IT"/>
        </w:rPr>
      </w:pPr>
      <w:r>
        <w:rPr>
          <w:sz w:val="16"/>
          <w:lang w:val="it-IT"/>
          <w:rFonts/>
        </w:rPr>
        <w:t xml:space="preserve">* Se il Servizio Cloud è stato acquistato da un Business Partner HCL, la tariffa di sottoscrizione mensile verrà calcolata sul prezzo di listino corrente per il Servizio cloud in vigore per il mese di contratto oggetto di un reclamo, scontato a un tasso del 50%. HCL metterà lo sconto direttamente a disposizione del Cliente. La disponibilità, espressa in percentuale, è calcolata come: il numero totale di minuti in un mese di contratto meno il numero totale di minuti del Tempo di inattività diviso per il numero totale di minuti nel mese di contratto.</w:t>
      </w:r>
    </w:p>
    <w:p w14:paraId="20C1F3F5" w14:textId="7496E681" w:rsidR="00FC77C1" w:rsidRPr="008A22AC" w:rsidRDefault="00FC77C1" w:rsidP="00FC77C1">
      <w:pPr>
        <w:rPr>
          <w:rFonts w:cstheme="minorHAnsi"/>
          <w:b/>
          <w:sz w:val="28"/>
          <w:lang w:val="it-IT"/>
        </w:rPr>
      </w:pPr>
      <w:r>
        <w:rPr>
          <w:b w:val="true"/>
          <w:sz w:val="28"/>
          <w:lang w:val="it-IT"/>
          <w:rFonts/>
        </w:rPr>
        <w:t xml:space="preserve">Technology Preview Code </w:t>
      </w:r>
    </w:p>
    <w:p w14:paraId="4BB8D213" w14:textId="77777777" w:rsidR="00FC77C1" w:rsidRPr="008A22AC" w:rsidRDefault="00FC77C1" w:rsidP="00FC77C1">
      <w:pPr>
        <w:rPr>
          <w:rFonts w:cstheme="minorHAnsi"/>
          <w:lang w:val="it-IT"/>
        </w:rPr>
      </w:pPr>
      <w:r>
        <w:rPr>
          <w:lang w:val="it-IT"/>
          <w:rFonts/>
        </w:rPr>
        <w:t xml:space="preserve">Technology Preview Code (TPC) può essere incluso o distribuito insieme al Programma o ad aggiornamenti dello stesso ma non fa parte del Programma. TPC è concesso in licenza secondo gli stessi termini del Programma, ad eccezione di quanto disposto di seguito. TPC sarà identificato come tale nel file di note (o in un file di note aggiornato che accompagna gli aggiornamenti). TPC, nel suo insieme o in parte, non può essere reso disponibile da HCL come prodotto o all'interno di un prodotto. Al Licenziatario è consentito l'utilizzo del TPC solo per uso interno a scopo di valutazione. INDIPENDENTEMENTE DA ALTRE ATTESTAZIONI FORNITE AL MOMENTO O PRIMA DELL'ACQUISTO, È RESPONSABILITÀ DEL LICENZIATARIO DETERMINARE SE IL PROGRAMMA È APPROPRIATO O SICURO PER IL SITO WEB, L'APPLICAZIONE WEB O L'AMBIENTE TECNICO DEL LICENZIATARIO. IL LICENZIATARIO RICONOSCE E ACCETTA TUTTI I RISCHI CONNESSI ALL'UTILIZZO DEL PROGRAMMA. Il File di note o l'accordo Proof of Concept (PoC, Installazione di prova) può limitare tale uso di valutazione a un periodo di valutazione. In tal caso, al termine del periodo di valutazione il Licenziatario deve interrompere l'utilizzo di TPC e disinstallarlo. HCL fornisce TPC senza l'obbligo di supporto e "COM'È", SENZA GARANZIE DI ALCUN TIPO, ESPLICITE O IMPLICITE, COMPRESE, SENZA LIMITAZIONI, LA GARANZIA DI TITOLO, NON VIOLAZIONE O NON INTERFERENZA E LE GARANZIE E CONDIZIONI IMPLICITE DI COMMERCIABILITÀ E ADEGUATEZZA PER UN PARTICOLARE SCOPO. </w:t>
      </w:r>
    </w:p>
    <w:p w14:paraId="76674A9D" w14:textId="77777777" w:rsidR="00572397" w:rsidRDefault="00FC77C1" w:rsidP="00CD09E8">
      <w:pPr>
        <w:rPr>
          <w:rFonts w:cstheme="minorHAnsi"/>
          <w:sz w:val="16"/>
          <w:lang w:val="it-IT"/>
        </w:rPr>
      </w:pPr>
      <w:r>
        <w:rPr>
          <w:lang w:val="it-IT"/>
          <w:rFonts/>
        </w:rPr>
        <w:t xml:space="preserve"> Il Licenziatario non può trasferire TPC a un'altra parte se non come trasferimento insieme al Programma. TPC può contenere un dispositivo di disabilitazione che ne impedisce l'utilizzo al termine del periodo di valutazione. Il Licenziatario non manometterà tale dispositivo di disabilitazione né TPC. Il Licenziatario deve adottare le necessarie precauzioni per evitare qualsiasi perdita di dati che si possa verificare quando non è più possibile utilizzare TPC. </w:t>
      </w:r>
    </w:p>
    <w:p w14:paraId="3E35802D" w14:textId="004BC8E9" w:rsidR="00CD09E8" w:rsidRPr="008A22AC" w:rsidRDefault="00FC77C1" w:rsidP="00CD09E8">
      <w:pPr>
        <w:rPr>
          <w:rFonts w:cstheme="minorHAnsi"/>
          <w:b/>
          <w:sz w:val="28"/>
          <w:lang w:val="it-IT"/>
        </w:rPr>
      </w:pPr>
      <w:r>
        <w:rPr>
          <w:b w:val="true"/>
          <w:sz w:val="28"/>
          <w:lang w:val="it-IT"/>
          <w:rFonts/>
        </w:rPr>
        <w:t xml:space="preserve">8. Termini aggiuntivi di HCL AppScan on Cloud </w:t>
      </w:r>
    </w:p>
    <w:p w14:paraId="25831C4F" w14:textId="5C15C9F7" w:rsidR="00CD09E8" w:rsidRPr="008A22AC" w:rsidRDefault="00572397" w:rsidP="00CD09E8">
      <w:pPr>
        <w:rPr>
          <w:rFonts w:cstheme="minorHAnsi"/>
          <w:b/>
          <w:lang w:val="it-IT"/>
        </w:rPr>
      </w:pPr>
      <w:r>
        <w:rPr>
          <w:b w:val="true"/>
          <w:lang w:val="it-IT"/>
          <w:rFonts/>
        </w:rPr>
        <w:t xml:space="preserve">8.1 Scansioni di sicurezza</w:t>
      </w:r>
    </w:p>
    <w:p w14:paraId="31E1D3FF" w14:textId="77777777" w:rsidR="00CD09E8" w:rsidRPr="008A22AC" w:rsidRDefault="00CD09E8" w:rsidP="00CD09E8">
      <w:pPr>
        <w:rPr>
          <w:rFonts w:cstheme="minorHAnsi"/>
          <w:lang w:val="it-IT"/>
        </w:rPr>
      </w:pPr>
      <w:r>
        <w:rPr>
          <w:lang w:val="it-IT"/>
          <w:rFonts/>
        </w:rPr>
        <w:t xml:space="preserve">Le scansioni di sicurezza potrebbero non identificare tutti i rischi per la sicurezza in un'applicazione, né essere progettate o destinate all'uso in ambienti rischiosi che richiedono un funzionamento di tipo "fail-safe", inclusi, a titolo esemplificativo, sistemi di navigazione aerea e di controllo del traffico aereo, sistemi d'arma, sistemi salvavita, strutture nucleari o qualsiasi altra applicazione in cui la mancata identificazione dei rischi per la sicurezza può causare morte, lesioni personali o danni materiali. Il funzionamento ininterrotto o esente da errori delle scansioni di sicurezza non è garantito. </w:t>
      </w:r>
    </w:p>
    <w:p w14:paraId="3F8EBA8C" w14:textId="51D973EA" w:rsidR="00CD09E8" w:rsidRPr="008A22AC" w:rsidRDefault="00CD09E8" w:rsidP="00CD09E8">
      <w:pPr>
        <w:rPr>
          <w:rFonts w:cstheme="minorHAnsi"/>
          <w:lang w:val="it-IT"/>
        </w:rPr>
      </w:pPr>
      <w:r>
        <w:rPr>
          <w:lang w:val="it-IT"/>
          <w:rFonts/>
        </w:rPr>
        <w:t xml:space="preserve">HCL AppScan on Cloud può essere utilizzato per aiutare il Cliente a rispettare gli obblighi di conformità, che possono essere basati su leggi, normative, standard o prassi. Eventuali indicazioni, linee guida o utilizzi consigliati forniti dal Servizio non costituiscono consulenza legale, contabile o di altro tipo professionale e si invita il Cliente a consultare un proprio legale o esperto in materia. La responsabilità di garantire che il Cliente e le attività, le applicazioni e i sistemi del Cliente siano conformi a tutte le leggi, le normative, i regolamenti, gli standard e le prassi applicabili spetta esclusivamente al Cliente stesso. L'utilizzo di questo Servizio non garantisce il rispetto di alcuna legge, normativa, standard o prassi. </w:t>
      </w:r>
    </w:p>
    <w:p w14:paraId="61976FB0" w14:textId="3C31D0DA" w:rsidR="00CD09E8" w:rsidRPr="008A22AC" w:rsidRDefault="00CD09E8" w:rsidP="00CD09E8">
      <w:pPr>
        <w:rPr>
          <w:rFonts w:cstheme="minorHAnsi"/>
          <w:lang w:val="it-IT"/>
        </w:rPr>
      </w:pPr>
      <w:r>
        <w:rPr>
          <w:lang w:val="it-IT"/>
          <w:rFonts/>
        </w:rPr>
        <w:t xml:space="preserve">HCL AppScan on Cloud effettua test invasivi e non invasivi sul sito Web e sull'applicazione Web o per dispositivi mobili che il Cliente sceglie di sottoporre a scansione. Alcune leggi vietano qualsiasi tentativo non autorizzato di penetrare o accedere ai sistemi informatici. Il Cliente autorizza HCL a eseguire i Servizi come descritto nel presente documento e accetta che i Servizi costituiscono accesso autorizzato ai sistemi informatici del Cliente. HCL può divulgare questa procura a terzi se ritenuto necessario per eseguire i Servizi. Le attività di test comportano alcuni rischi, tra cui, a titolo esemplificativo: </w:t>
      </w:r>
    </w:p>
    <w:p w14:paraId="09A4A32F" w14:textId="166C2D95" w:rsidR="00CD09E8" w:rsidRPr="008A22AC" w:rsidRDefault="00A63664" w:rsidP="00CD09E8">
      <w:pPr>
        <w:rPr>
          <w:rFonts w:cstheme="minorHAnsi"/>
          <w:lang w:val="it-IT"/>
        </w:rPr>
      </w:pPr>
      <w:r>
        <w:rPr>
          <w:lang w:val="it-IT"/>
          <w:rFonts/>
        </w:rPr>
        <w:t xml:space="preserve">i sistemi informatici del Cliente, durante l'esecuzione delle applicazioni sottoposte a test, potrebbero subire un blocco o un arresto anomalo, con conseguente temporanea indisponibilità del sistema o perdita di dati; </w:t>
      </w:r>
    </w:p>
    <w:p w14:paraId="0C14F94D" w14:textId="4F1D79A1" w:rsidR="00CD09E8" w:rsidRPr="008A22AC" w:rsidRDefault="00CD09E8" w:rsidP="009F30E6">
      <w:pPr>
        <w:pStyle w:val="ListParagraph"/>
        <w:numPr>
          <w:ilvl w:val="0"/>
          <w:numId w:val="1"/>
        </w:numPr>
        <w:rPr>
          <w:rFonts w:cstheme="minorHAnsi"/>
          <w:lang w:val="it-IT"/>
        </w:rPr>
      </w:pPr>
      <w:r>
        <w:rPr>
          <w:lang w:val="it-IT"/>
          <w:rFonts/>
        </w:rPr>
        <w:t xml:space="preserve">durante i test, potrebbe verificarsi un decadimento delle prestazioni e della velocità effettiva dei sistemi del Cliente, nonché delle prestazioni e della velocità effettiva dei router e dei firewall associati; </w:t>
      </w:r>
    </w:p>
    <w:p w14:paraId="1BACAD6E" w14:textId="77777777" w:rsidR="00CD09E8" w:rsidRPr="008A22AC" w:rsidRDefault="00CD09E8" w:rsidP="009F30E6">
      <w:pPr>
        <w:pStyle w:val="ListParagraph"/>
        <w:numPr>
          <w:ilvl w:val="0"/>
          <w:numId w:val="1"/>
        </w:numPr>
        <w:rPr>
          <w:rFonts w:cstheme="minorHAnsi"/>
          <w:lang w:val="it-IT"/>
        </w:rPr>
      </w:pPr>
      <w:r>
        <w:rPr>
          <w:lang w:val="it-IT"/>
          <w:rFonts/>
        </w:rPr>
        <w:t xml:space="preserve">è possibile che vengano generate quantità eccessive di messaggi di log, con conseguente consumo eccessivo di spazio su disco da parte del file di log; </w:t>
      </w:r>
    </w:p>
    <w:p w14:paraId="4A86201D" w14:textId="77777777" w:rsidR="00CD09E8" w:rsidRPr="008A22AC" w:rsidRDefault="00CD09E8" w:rsidP="009F30E6">
      <w:pPr>
        <w:pStyle w:val="ListParagraph"/>
        <w:numPr>
          <w:ilvl w:val="0"/>
          <w:numId w:val="1"/>
        </w:numPr>
        <w:rPr>
          <w:rFonts w:cstheme="minorHAnsi"/>
          <w:lang w:val="it-IT"/>
        </w:rPr>
      </w:pPr>
      <w:r>
        <w:rPr>
          <w:lang w:val="it-IT"/>
          <w:rFonts/>
        </w:rPr>
        <w:t xml:space="preserve">l'analisi delle vulnerabilità potrebbe modificare o eliminare i dati; </w:t>
      </w:r>
    </w:p>
    <w:p w14:paraId="168AD97F" w14:textId="77777777" w:rsidR="00CD09E8" w:rsidRPr="008A22AC" w:rsidRDefault="00CD09E8" w:rsidP="009F30E6">
      <w:pPr>
        <w:pStyle w:val="ListParagraph"/>
        <w:numPr>
          <w:ilvl w:val="0"/>
          <w:numId w:val="1"/>
        </w:numPr>
        <w:rPr>
          <w:rFonts w:cstheme="minorHAnsi"/>
          <w:lang w:val="it-IT"/>
        </w:rPr>
      </w:pPr>
      <w:r>
        <w:rPr>
          <w:lang w:val="it-IT"/>
          <w:rFonts/>
        </w:rPr>
        <w:t xml:space="preserve">i sistemi di rilevamento delle intrusioni potrebbero attivare degli allarmi; </w:t>
      </w:r>
    </w:p>
    <w:p w14:paraId="67C69242" w14:textId="5E25FF01" w:rsidR="00CD09E8" w:rsidRPr="008A22AC" w:rsidRDefault="00CD09E8" w:rsidP="009F30E6">
      <w:pPr>
        <w:pStyle w:val="ListParagraph"/>
        <w:numPr>
          <w:ilvl w:val="0"/>
          <w:numId w:val="1"/>
        </w:numPr>
        <w:rPr>
          <w:rFonts w:cstheme="minorHAnsi"/>
          <w:lang w:val="it-IT"/>
        </w:rPr>
      </w:pPr>
      <w:r>
        <w:rPr>
          <w:lang w:val="it-IT"/>
          <w:rFonts/>
        </w:rPr>
        <w:t xml:space="preserve">la funzione e-mail dell'applicazione Web sottoposta a test potrebbe attivare l'invio di e-mail; </w:t>
      </w:r>
    </w:p>
    <w:p w14:paraId="47E5E5DD" w14:textId="38D000C9" w:rsidR="00CD09E8" w:rsidRPr="008A22AC" w:rsidRDefault="00CD09E8" w:rsidP="009F30E6">
      <w:pPr>
        <w:pStyle w:val="ListParagraph"/>
        <w:numPr>
          <w:ilvl w:val="0"/>
          <w:numId w:val="1"/>
        </w:numPr>
        <w:rPr>
          <w:rFonts w:cstheme="minorHAnsi"/>
          <w:lang w:val="it-IT"/>
        </w:rPr>
      </w:pPr>
      <w:r>
        <w:rPr>
          <w:lang w:val="it-IT"/>
          <w:rFonts/>
        </w:rPr>
        <w:t xml:space="preserve">HCL AppScan on Cloud potrebbe intercettare il traffico della rete monitorata allo scopo di cercare eventi.</w:t>
      </w:r>
    </w:p>
    <w:p w14:paraId="59B01ABD" w14:textId="72B4B1F6" w:rsidR="009F30E6" w:rsidRPr="008A22AC" w:rsidRDefault="009F30E6" w:rsidP="009F30E6">
      <w:pPr>
        <w:rPr>
          <w:rFonts w:cstheme="minorHAnsi"/>
          <w:lang w:val="it-IT"/>
        </w:rPr>
      </w:pPr>
      <w:r>
        <w:rPr>
          <w:lang w:val="it-IT"/>
          <w:rFonts/>
        </w:rPr>
        <w:t xml:space="preserve">Eventuali diritti o rimedi dell'accordo sui livelli di servizio forniti da HCL e relativi ai siti Web o alle applicazioni soggette a test non saranno applicati durante alcuna attività di test. </w:t>
      </w:r>
    </w:p>
    <w:p w14:paraId="53FE9B20" w14:textId="068ADA5B" w:rsidR="009F30E6" w:rsidRPr="008A22AC" w:rsidRDefault="009F30E6" w:rsidP="009F30E6">
      <w:pPr>
        <w:rPr>
          <w:rFonts w:cstheme="minorHAnsi"/>
          <w:lang w:val="it-IT"/>
        </w:rPr>
      </w:pPr>
      <w:r>
        <w:rPr>
          <w:lang w:val="it-IT"/>
          <w:rFonts/>
        </w:rPr>
        <w:t xml:space="preserve">Nel caso in cui il Cliente immetta nel Servizio credenziali di accesso autenticate per l'applicazione da sottoporre a test, il Cliente deve immettere tali credenziali solo per account di prova e non per utenti di produzione. L'uso delle credenziali degli utenti di produzione può comportare la trasmissione di dati personali tramite il Servizio. </w:t>
      </w:r>
    </w:p>
    <w:p w14:paraId="69920BFD" w14:textId="191C1A17" w:rsidR="009F30E6" w:rsidRPr="008A22AC" w:rsidRDefault="009F30E6" w:rsidP="009F30E6">
      <w:pPr>
        <w:rPr>
          <w:rFonts w:cstheme="minorHAnsi"/>
          <w:lang w:val="it-IT"/>
        </w:rPr>
      </w:pPr>
      <w:r>
        <w:rPr>
          <w:lang w:val="it-IT"/>
          <w:rFonts/>
        </w:rPr>
        <w:t xml:space="preserve">HCL AppScan on Cloud può essere configurato per effettuare la scansione di applicazioni Web in produzione. Quando il Cliente imposta il tipo di scansione su "produzione", il servizio è progettato per eseguire le scansioni in modo da ridurre i rischi sopra elencati; tuttavia, in determinate situazioni, l'esecuzione di HCL AppScan on Cloud potrebbe comportare un decadimento delle prestazioni o un'instabilità nei siti e nell'infrastruttura di produzione sottoposti a test. HCL non rilascia alcuna garanzia o dichiarazione in merito all'idoneità all'uso di HCL AppScan on Cloud per sottoporre a scansione i siti in produzione. </w:t>
      </w:r>
    </w:p>
    <w:p w14:paraId="22E2E24C" w14:textId="27804F39" w:rsidR="009F30E6" w:rsidRPr="008A22AC" w:rsidRDefault="009F30E6" w:rsidP="009F30E6">
      <w:pPr>
        <w:rPr>
          <w:rFonts w:cstheme="minorHAnsi"/>
          <w:lang w:val="it-IT"/>
        </w:rPr>
      </w:pPr>
      <w:r>
        <w:rPr>
          <w:lang w:val="it-IT"/>
          <w:rFonts/>
        </w:rPr>
        <w:t xml:space="preserve">È RESPONSABILITÀ DEL CLIENTE DETERMINARE SE IL SERVIZIO È APPROPRIATO O SICURO PER IL SITO WEB, L'APPLICAZIONE WEB, L'APPLICAZIONE PER DISPOSITIVI MOBILI O L'AMBIENTE TECNICO DEL CLIENTE. </w:t>
      </w:r>
    </w:p>
    <w:p w14:paraId="75103AF9" w14:textId="5C039DBB" w:rsidR="009F30E6" w:rsidRPr="008A22AC" w:rsidRDefault="009F30E6" w:rsidP="009F30E6">
      <w:pPr>
        <w:rPr>
          <w:rFonts w:cstheme="minorHAnsi"/>
          <w:lang w:val="it-IT"/>
        </w:rPr>
      </w:pPr>
      <w:r>
        <w:rPr>
          <w:lang w:val="it-IT"/>
          <w:rFonts/>
        </w:rPr>
        <w:t xml:space="preserve">HCL AppScan on Cloud è progettato per identificare una varietà di potenziali problemi di sicurezza e di conformità nelle applicazioni Web e per dispositivi mobili e nei servizi Web. Non sottopone a test tutte le vulnerabilità o i rischi di conformità, né funge da barriera nei confronti degli attacchi alla sicurezza. Le minacce alla sicurezza, le normative e gli standard cambiano costantemente e il Servizio potrebbe non riflettere tutti questi cambiamenti. La sicurezza e la conformità dell'applicazione Web, dei sistemi e dei dipendenti del Cliente, e delle eventuali azioni correttive, sono di esclusiva responsabilità del Cliente. La decisione di utilizzare o non utilizzare le informazioni fornite dal Servizio spetta esclusivamente al Cliente. </w:t>
      </w:r>
    </w:p>
    <w:p w14:paraId="0AB35999" w14:textId="1366892F" w:rsidR="009F30E6" w:rsidRPr="008A22AC" w:rsidRDefault="009F30E6" w:rsidP="009F30E6">
      <w:pPr>
        <w:rPr>
          <w:rFonts w:cstheme="minorHAnsi"/>
          <w:lang w:val="it-IT"/>
        </w:rPr>
      </w:pPr>
      <w:r>
        <w:rPr>
          <w:lang w:val="it-IT"/>
          <w:rFonts/>
        </w:rPr>
        <w:t xml:space="preserve">Alcune leggi vietano qualsiasi tentativo non autorizzato di penetrare o accedere ai sistemi informatici. LA RESPONSABILITÀ DI GARANTIRE CHE IL CLIENTE NON UTILIZZI IL SERVIZIO PER SOTTOPORRE A SCANSIONE APPLICAZIONI E/O SITI WEB DIVERSI DALLE APPLICAZIONI E/O DAI SITI WEB DI PROPRIETÀ DEL CLIENTE O DA QUELLI CHE IL CLIENTE HA IL DIRITTO E L'AUTORITÀ DI SOTTOPORRE A SCANSIONE SPETTA AL CLIENTE STESSO. </w:t>
      </w:r>
    </w:p>
    <w:p w14:paraId="05790647" w14:textId="296097E6" w:rsidR="004D7ADA" w:rsidRPr="008A22AC" w:rsidRDefault="004D7ADA" w:rsidP="004D7ADA">
      <w:pPr>
        <w:rPr>
          <w:rFonts w:cstheme="minorHAnsi"/>
          <w:lang w:val="it-IT"/>
        </w:rPr>
      </w:pPr>
      <w:r>
        <w:rPr>
          <w:lang w:val="it-IT"/>
          <w:rFonts/>
        </w:rPr>
        <w:t xml:space="preserve">Per motivi di chiarezza, si riterrà inoltre che i Contenuti del Cliente descritti nella sezione Protezione dei dati del CSA includano dati che possono divenire accessibili a HCL durante i test di penetrazione dell'applicazione.</w:t>
      </w:r>
    </w:p>
    <w:p w14:paraId="76587B89" w14:textId="11C708EC" w:rsidR="009F30E6" w:rsidRPr="008A22AC" w:rsidRDefault="00572397" w:rsidP="009F30E6">
      <w:pPr>
        <w:rPr>
          <w:rFonts w:cstheme="minorHAnsi"/>
          <w:b/>
          <w:lang w:val="it-IT"/>
        </w:rPr>
      </w:pPr>
      <w:r>
        <w:rPr>
          <w:b w:val="true"/>
          <w:lang w:val="it-IT"/>
          <w:rFonts/>
        </w:rPr>
        <w:t xml:space="preserve">8.2 Utilizzo dei dati e cookie </w:t>
      </w:r>
    </w:p>
    <w:p w14:paraId="3B881C26" w14:textId="70D1D2A5" w:rsidR="009F30E6" w:rsidRPr="008A22AC" w:rsidRDefault="009F30E6" w:rsidP="009F30E6">
      <w:pPr>
        <w:rPr>
          <w:rFonts w:cstheme="minorHAnsi"/>
          <w:lang w:val="it-IT"/>
        </w:rPr>
      </w:pPr>
      <w:r>
        <w:rPr>
          <w:lang w:val="it-IT"/>
          <w:rFonts/>
        </w:rPr>
        <w:t xml:space="preserve">Consultare le informazioni relative alla Dichiarazione sulla privacy HCL al seguente indirizzo: </w:t>
      </w:r>
      <w:hyperlink r:id="rId9" w:history="1">
        <w:r>
          <w:rPr>
            <w:rStyle w:val="Hyperlink"/>
            <w:lang w:val="it-IT"/>
            <w:rFonts/>
          </w:rPr>
          <w:t xml:space="preserve">https://www.hcltech.com/privacy-statement</w:t>
        </w:r>
      </w:hyperlink>
      <w:r>
        <w:rPr>
          <w:lang w:val="it-IT"/>
          <w:rFonts/>
        </w:rPr>
        <w:t xml:space="preserve"> </w:t>
      </w:r>
    </w:p>
    <w:p w14:paraId="6FACAE80" w14:textId="294144F5" w:rsidR="009F30E6" w:rsidRPr="008A22AC" w:rsidRDefault="00A63664" w:rsidP="009F30E6">
      <w:pPr>
        <w:rPr>
          <w:rFonts w:cstheme="minorHAnsi"/>
          <w:lang w:val="it-IT"/>
        </w:rPr>
      </w:pPr>
      <w:r>
        <w:rPr>
          <w:lang w:val="it-IT"/>
          <w:rFonts/>
        </w:rPr>
        <w:t xml:space="preserve">Il Cliente prende atto e accetta che HCL può, nell'ambito delle normali attività di esercizio e supporto di HCL AppScan on Cloud, raccogliere informazioni personali dal Cliente (dipendenti e collaboratori del Cliente) relative all'utilizzo di HCL AppScan on Cloud, mediante tracciamento e altre tecnologie. HCL lo fa per raccogliere statistiche sull'utilizzo e informazioni sull'efficacia di HCL AppScan on Cloud allo scopo di migliorare l'esperienza dell'utente e/o personalizzare le interazioni con il Cliente. Il Cliente conferma che otterrà o ha ottenuto il consenso per permettere a HCL di elaborare le informazioni personali raccolte per gli scopi sopra menzionati presso HCL, altre società HCL e relativi subfornitori, ovunque HCL e tali subfornitori operino, in conformità con i requisiti di legge vigenti. HCL ottempererà alle richieste, da parte dei dipendenti e dei collaboratori del Cliente, di accedere, aggiornare, correggere o eliminare le informazioni personali raccolte. </w:t>
      </w:r>
    </w:p>
    <w:p w14:paraId="4EAF5664" w14:textId="55D75C18" w:rsidR="009F30E6" w:rsidRPr="008A22AC" w:rsidRDefault="009F30E6" w:rsidP="009F30E6">
      <w:pPr>
        <w:rPr>
          <w:rFonts w:cstheme="minorHAnsi"/>
          <w:lang w:val="it-IT"/>
        </w:rPr>
      </w:pPr>
      <w:r>
        <w:rPr>
          <w:lang w:val="it-IT"/>
          <w:rFonts/>
        </w:rPr>
        <w:t xml:space="preserve">Nell'ambito di HCL AppScan on Cloud, che include attività di reporting, HCL preparerà e manterrà in modo anonimo e aggregato le informazioni raccolte da HCL AppScan on Cloud (denominate "Dati di sicurezza"). I Dati di sicurezza non identificheranno il Cliente o un individuo, a eccezione di quanto stabilito nel presente documento. Il Cliente accetta inoltre che HCL possa utilizzare e/o copiare i Dati di sicurezza esclusivamente per i seguenti scopi: </w:t>
      </w:r>
    </w:p>
    <w:p w14:paraId="379217C4" w14:textId="77777777" w:rsidR="009F30E6" w:rsidRPr="008A22AC" w:rsidRDefault="009F30E6" w:rsidP="009F30E6">
      <w:pPr>
        <w:pStyle w:val="ListParagraph"/>
        <w:numPr>
          <w:ilvl w:val="0"/>
          <w:numId w:val="2"/>
        </w:numPr>
        <w:rPr>
          <w:rFonts w:cstheme="minorHAnsi"/>
          <w:lang w:val="it-IT"/>
        </w:rPr>
      </w:pPr>
      <w:r>
        <w:rPr>
          <w:lang w:val="it-IT"/>
          <w:rFonts/>
        </w:rPr>
        <w:t xml:space="preserve">pubblicare e/o distribuire i Dati di sicurezza (ad esempio, in compilazioni e/o analisi relative alla sicurezza informatica); </w:t>
      </w:r>
    </w:p>
    <w:p w14:paraId="7AA68115" w14:textId="77777777" w:rsidR="009F30E6" w:rsidRPr="008A22AC" w:rsidRDefault="009F30E6" w:rsidP="009F30E6">
      <w:pPr>
        <w:pStyle w:val="ListParagraph"/>
        <w:numPr>
          <w:ilvl w:val="0"/>
          <w:numId w:val="2"/>
        </w:numPr>
        <w:rPr>
          <w:rFonts w:cstheme="minorHAnsi"/>
          <w:lang w:val="it-IT"/>
        </w:rPr>
      </w:pPr>
      <w:r>
        <w:rPr>
          <w:lang w:val="it-IT"/>
          <w:rFonts/>
        </w:rPr>
        <w:t xml:space="preserve">sviluppare o migliorare i prodotti o i servizi; </w:t>
      </w:r>
    </w:p>
    <w:p w14:paraId="60B2FC63" w14:textId="77777777" w:rsidR="009F30E6" w:rsidRPr="008A22AC" w:rsidRDefault="009F30E6" w:rsidP="009F30E6">
      <w:pPr>
        <w:pStyle w:val="ListParagraph"/>
        <w:numPr>
          <w:ilvl w:val="0"/>
          <w:numId w:val="2"/>
        </w:numPr>
        <w:rPr>
          <w:rFonts w:cstheme="minorHAnsi"/>
          <w:lang w:val="it-IT"/>
        </w:rPr>
      </w:pPr>
      <w:r>
        <w:rPr>
          <w:lang w:val="it-IT"/>
          <w:rFonts/>
        </w:rPr>
        <w:t xml:space="preserve">svolgere ricerche interne o in collaborazione con terzi; e </w:t>
      </w:r>
    </w:p>
    <w:p w14:paraId="1E5AB7E5" w14:textId="1E206380" w:rsidR="00344CFD" w:rsidRPr="008A22AC" w:rsidRDefault="009F30E6" w:rsidP="000240FD">
      <w:pPr>
        <w:pStyle w:val="ListParagraph"/>
        <w:numPr>
          <w:ilvl w:val="0"/>
          <w:numId w:val="2"/>
        </w:numPr>
        <w:rPr>
          <w:rFonts w:cstheme="minorHAnsi"/>
          <w:lang w:val="it-IT"/>
        </w:rPr>
      </w:pPr>
      <w:r>
        <w:rPr>
          <w:lang w:val="it-IT"/>
          <w:rFonts/>
        </w:rPr>
        <w:t xml:space="preserve">condividere legittimamente informazioni confermate relative ad aggressori terzi. </w:t>
      </w:r>
    </w:p>
    <w:p w14:paraId="25BF5463" w14:textId="1BADEE20" w:rsidR="009F30E6" w:rsidRPr="008A22AC" w:rsidRDefault="00572397" w:rsidP="009F30E6">
      <w:pPr>
        <w:rPr>
          <w:rFonts w:cstheme="minorHAnsi"/>
          <w:b/>
          <w:lang w:val="it-IT"/>
        </w:rPr>
      </w:pPr>
      <w:r>
        <w:rPr>
          <w:b w:val="true"/>
          <w:lang w:val="it-IT"/>
          <w:rFonts/>
        </w:rPr>
        <w:t xml:space="preserve">8.3 Software di supporto </w:t>
      </w:r>
    </w:p>
    <w:p w14:paraId="38152A37" w14:textId="1C26FDDC" w:rsidR="009F30E6" w:rsidRPr="008A22AC" w:rsidRDefault="009F30E6" w:rsidP="009F30E6">
      <w:pPr>
        <w:rPr>
          <w:rFonts w:cstheme="minorHAnsi"/>
          <w:lang w:val="it-IT"/>
        </w:rPr>
      </w:pPr>
      <w:r>
        <w:rPr>
          <w:lang w:val="it-IT"/>
          <w:rFonts/>
        </w:rPr>
        <w:t xml:space="preserve">Il Servizio cloud potrebbe richiedere l'uso di software di supporto che il Cliente scarica sui propri sistemi per facilitare l'utilizzo del Servizio cloud. Il Cliente può utilizzare il Software di supporto elencato di seguito esclusivamente in relazione con l'utilizzo del Servizio cloud. Il Software di supporto viene fornito al Cliente alle seguenti condizioni:</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lang w:val="it-IT"/>
              </w:rPr>
            </w:pPr>
            <w:r>
              <w:rPr>
                <w:b w:val="true"/>
                <w:lang w:val="it-IT"/>
                <w:rFonts/>
              </w:rPr>
              <w:t xml:space="preserve">Software di supporto</w:t>
            </w:r>
          </w:p>
        </w:tc>
        <w:tc>
          <w:tcPr>
            <w:tcW w:w="4140" w:type="dxa"/>
          </w:tcPr>
          <w:p w14:paraId="0F365D9D" w14:textId="77777777" w:rsidR="00BA6472" w:rsidRPr="008A22AC" w:rsidRDefault="00BA6472" w:rsidP="009F30E6">
            <w:pPr>
              <w:rPr>
                <w:rFonts w:cstheme="minorHAnsi"/>
                <w:b/>
                <w:lang w:val="it-IT"/>
              </w:rPr>
            </w:pPr>
            <w:r>
              <w:rPr>
                <w:b w:val="true"/>
                <w:lang w:val="it-IT"/>
                <w:rFonts/>
              </w:rPr>
              <w:t xml:space="preserve">Condizioni di licenza applicabili (se presenti)</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lang w:val="it-IT"/>
              </w:rPr>
            </w:pPr>
            <w:r>
              <w:rPr>
                <w:lang w:val="it-IT"/>
                <w:rFonts/>
              </w:rPr>
              <w:t xml:space="preserve">Programma di utilità client Static Analyzer (Generatore IRX)</w:t>
            </w:r>
          </w:p>
        </w:tc>
        <w:tc>
          <w:tcPr>
            <w:tcW w:w="4140" w:type="dxa"/>
          </w:tcPr>
          <w:p w14:paraId="2BEABEB1" w14:textId="77777777" w:rsidR="00BA6472" w:rsidRPr="008A22AC" w:rsidRDefault="00BA6472" w:rsidP="009F30E6">
            <w:pPr>
              <w:rPr>
                <w:rFonts w:cstheme="minorHAnsi"/>
                <w:lang w:val="it-IT"/>
              </w:rPr>
            </w:pPr>
            <w:r>
              <w:rPr>
                <w:lang w:val="it-IT"/>
                <w:rFonts/>
              </w:rPr>
              <w:t xml:space="preserve">Fornito per l'uso COSÌ COM'È</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lang w:val="it-IT"/>
              </w:rPr>
            </w:pPr>
            <w:r>
              <w:rPr>
                <w:lang w:val="it-IT"/>
                <w:rFonts/>
              </w:rPr>
              <w:t xml:space="preserve">AppScan GO!</w:t>
            </w:r>
          </w:p>
        </w:tc>
        <w:tc>
          <w:tcPr>
            <w:tcW w:w="4140" w:type="dxa"/>
          </w:tcPr>
          <w:p w14:paraId="683BABFC" w14:textId="4B5C856D" w:rsidR="0038326F" w:rsidRPr="008A22AC" w:rsidRDefault="0038326F" w:rsidP="009F30E6">
            <w:pPr>
              <w:rPr>
                <w:rFonts w:cstheme="minorHAnsi"/>
                <w:lang w:val="it-IT"/>
              </w:rPr>
            </w:pPr>
            <w:r>
              <w:rPr>
                <w:lang w:val="it-IT"/>
                <w:rFonts/>
              </w:rPr>
              <w:t xml:space="preserve">Fornito per l'uso COSÌ COM'È</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lang w:val="it-IT"/>
              </w:rPr>
            </w:pPr>
            <w:r>
              <w:rPr>
                <w:lang w:val="it-IT"/>
                <w:rFonts/>
              </w:rPr>
              <w:t xml:space="preserve">AppScan Presence</w:t>
            </w:r>
          </w:p>
        </w:tc>
        <w:tc>
          <w:tcPr>
            <w:tcW w:w="4140" w:type="dxa"/>
          </w:tcPr>
          <w:p w14:paraId="5D4142DB" w14:textId="77777777" w:rsidR="00BA6472" w:rsidRPr="008A22AC" w:rsidRDefault="00BA6472" w:rsidP="009F30E6">
            <w:pPr>
              <w:rPr>
                <w:rFonts w:cstheme="minorHAnsi"/>
                <w:lang w:val="it-IT"/>
              </w:rPr>
            </w:pPr>
            <w:r>
              <w:rPr>
                <w:lang w:val="it-IT"/>
                <w:rFonts/>
              </w:rPr>
              <w:t xml:space="preserve">Fornito per l'uso COSÌ COM'È</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lang w:val="it-IT"/>
              </w:rPr>
            </w:pPr>
            <w:r>
              <w:rPr>
                <w:lang w:val="it-IT"/>
                <w:rFonts/>
              </w:rPr>
              <w:t xml:space="preserve">Agente AppScan IAST</w:t>
            </w:r>
          </w:p>
        </w:tc>
        <w:tc>
          <w:tcPr>
            <w:tcW w:w="4140" w:type="dxa"/>
          </w:tcPr>
          <w:p w14:paraId="5B671EB8" w14:textId="4B6C7780" w:rsidR="00976064" w:rsidRPr="008A22AC" w:rsidRDefault="0038326F" w:rsidP="009F30E6">
            <w:pPr>
              <w:rPr>
                <w:rFonts w:cstheme="minorHAnsi"/>
                <w:lang w:val="it-IT"/>
              </w:rPr>
            </w:pPr>
            <w:r>
              <w:rPr>
                <w:lang w:val="it-IT"/>
                <w:rFonts/>
              </w:rPr>
              <w:t xml:space="preserve">Fornito per l'uso COSÌ COM'È</w:t>
            </w:r>
          </w:p>
        </w:tc>
      </w:tr>
    </w:tbl>
    <w:p w14:paraId="6825938A" w14:textId="7F796AA2" w:rsidR="009F30E6" w:rsidRPr="008A22AC" w:rsidRDefault="009F30E6" w:rsidP="009F30E6">
      <w:pPr>
        <w:rPr>
          <w:rFonts w:cstheme="minorHAnsi"/>
          <w:lang w:val="it-IT"/>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A5DA3-0470-44B7-AB48-BF97DACE32B9}"/>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3469</Words>
  <Characters>19778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Jana Richardson</cp:lastModifiedBy>
  <cp:revision>2</cp:revision>
  <cp:lastPrinted>2020-02-04T13:50:00Z</cp:lastPrinted>
  <dcterms:created xsi:type="dcterms:W3CDTF">2020-03-13T13:41:00Z</dcterms:created>
  <dcterms:modified xsi:type="dcterms:W3CDTF">2020-03-13T13:41:00Z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